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53" w:rsidRPr="008D3F53" w:rsidRDefault="008D3F53" w:rsidP="008D3F53">
      <w:pPr>
        <w:shd w:val="clear" w:color="auto" w:fill="FFFFFF"/>
        <w:overflowPunct w:val="0"/>
        <w:topLinePunct/>
        <w:spacing w:before="100" w:after="100" w:line="520" w:lineRule="exac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8D3F53">
        <w:rPr>
          <w:rFonts w:ascii="Times New Roman" w:eastAsia="仿宋_GB2312" w:hAnsi="Times New Roman" w:cs="宋体" w:hint="eastAsia"/>
          <w:kern w:val="0"/>
          <w:sz w:val="32"/>
          <w:szCs w:val="32"/>
        </w:rPr>
        <w:t>附</w:t>
      </w:r>
      <w:r w:rsidRPr="008D3F53">
        <w:rPr>
          <w:rFonts w:ascii="Times New Roman" w:eastAsia="仿宋_GB2312" w:hAnsi="Times New Roman" w:cs="宋体"/>
          <w:kern w:val="0"/>
          <w:sz w:val="32"/>
          <w:szCs w:val="32"/>
        </w:rPr>
        <w:t>件</w:t>
      </w:r>
      <w:r w:rsidRPr="008D3F53"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</w:p>
    <w:p w:rsidR="008D3F53" w:rsidRPr="008D3F53" w:rsidRDefault="008D3F53" w:rsidP="008D3F53">
      <w:pPr>
        <w:spacing w:afterLines="30" w:after="93" w:line="520" w:lineRule="exact"/>
        <w:jc w:val="center"/>
        <w:rPr>
          <w:rFonts w:ascii="方正小标宋简体" w:eastAsia="方正小标宋简体" w:hAnsi="仿宋_GB2312" w:cs="仿宋_GB2312" w:hint="eastAsia"/>
          <w:spacing w:val="-6"/>
          <w:w w:val="90"/>
          <w:sz w:val="44"/>
          <w:szCs w:val="44"/>
        </w:rPr>
      </w:pPr>
      <w:bookmarkStart w:id="0" w:name="_GoBack"/>
      <w:r w:rsidRPr="008D3F53">
        <w:rPr>
          <w:rFonts w:ascii="方正小标宋简体" w:eastAsia="方正小标宋简体" w:hAnsi="仿宋_GB2312" w:cs="仿宋_GB2312" w:hint="eastAsia"/>
          <w:spacing w:val="-6"/>
          <w:w w:val="90"/>
          <w:sz w:val="44"/>
          <w:szCs w:val="44"/>
        </w:rPr>
        <w:t>“喜迎党的二十大·我们的新时代”</w:t>
      </w:r>
    </w:p>
    <w:p w:rsidR="008D3F53" w:rsidRPr="008D3F53" w:rsidRDefault="008D3F53" w:rsidP="008D3F53">
      <w:pPr>
        <w:spacing w:afterLines="30" w:after="93" w:line="520" w:lineRule="exact"/>
        <w:jc w:val="center"/>
        <w:rPr>
          <w:rFonts w:ascii="方正小标宋简体" w:eastAsia="方正小标宋简体" w:hAnsi="仿宋_GB2312" w:cs="仿宋_GB2312"/>
          <w:spacing w:val="-14"/>
          <w:w w:val="90"/>
          <w:sz w:val="44"/>
          <w:szCs w:val="44"/>
        </w:rPr>
      </w:pPr>
      <w:r w:rsidRPr="008D3F53">
        <w:rPr>
          <w:rFonts w:ascii="方正小标宋简体" w:eastAsia="方正小标宋简体" w:hAnsi="仿宋_GB2312" w:cs="仿宋_GB2312" w:hint="eastAsia"/>
          <w:spacing w:val="-14"/>
          <w:w w:val="90"/>
          <w:sz w:val="44"/>
          <w:szCs w:val="44"/>
        </w:rPr>
        <w:t>2022年广播电视公益广告大赛优秀展播机构申报表</w:t>
      </w:r>
    </w:p>
    <w:tbl>
      <w:tblPr>
        <w:tblStyle w:val="a3"/>
        <w:tblW w:w="8751" w:type="dxa"/>
        <w:jc w:val="center"/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435"/>
        <w:gridCol w:w="1929"/>
        <w:gridCol w:w="2456"/>
        <w:gridCol w:w="1931"/>
      </w:tblGrid>
      <w:tr w:rsidR="008D3F53" w:rsidRPr="008D3F53" w:rsidTr="005B7A7B">
        <w:trPr>
          <w:trHeight w:val="604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申报机构名称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64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期间播出公益广告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proofErr w:type="gramStart"/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总条次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期间播出公益广告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总时长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1356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期间播出“喜迎党的二十大·我们的新时代”公益广告大赛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优秀作品条次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期间播出“喜迎党的二十大·我们的新时代”公益广告大赛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优秀作品总时长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783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期间公益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广告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创作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条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期间创作公益</w:t>
            </w:r>
            <w:proofErr w:type="gramStart"/>
            <w:r w:rsidRPr="008D3F53">
              <w:rPr>
                <w:rFonts w:ascii="Times New Roman" w:eastAsia="仿宋_GB2312" w:hAnsi="黑体"/>
                <w:sz w:val="24"/>
                <w:szCs w:val="24"/>
              </w:rPr>
              <w:t>广告获</w:t>
            </w:r>
            <w:proofErr w:type="gramEnd"/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省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级以上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扶持条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55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开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户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银行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银行账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54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开户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名称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62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联系人姓名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联系人电话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left="525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</w:p>
        </w:tc>
      </w:tr>
      <w:tr w:rsidR="008D3F53" w:rsidRPr="008D3F53" w:rsidTr="005B7A7B">
        <w:trPr>
          <w:trHeight w:val="107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申报单位意见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950" w:firstLine="468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950" w:firstLine="468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300" w:firstLine="312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盖章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400" w:firstLine="336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年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 xml:space="preserve">   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月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 xml:space="preserve">   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日</w:t>
            </w:r>
          </w:p>
        </w:tc>
      </w:tr>
      <w:tr w:rsidR="008D3F53" w:rsidRPr="008D3F53" w:rsidTr="005B7A7B">
        <w:trPr>
          <w:trHeight w:val="153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申报</w:t>
            </w:r>
            <w:r w:rsidRPr="008D3F53">
              <w:rPr>
                <w:rFonts w:ascii="Times New Roman" w:eastAsia="仿宋_GB2312" w:hAnsi="黑体"/>
                <w:sz w:val="24"/>
                <w:szCs w:val="24"/>
              </w:rPr>
              <w:t>主管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/>
                <w:sz w:val="24"/>
                <w:szCs w:val="24"/>
              </w:rPr>
              <w:t>单位意见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950" w:firstLine="468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950" w:firstLine="468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300" w:firstLine="3120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盖章</w:t>
            </w:r>
          </w:p>
          <w:p w:rsidR="008D3F53" w:rsidRPr="008D3F53" w:rsidRDefault="008D3F53" w:rsidP="008D3F53">
            <w:pPr>
              <w:overflowPunct w:val="0"/>
              <w:topLinePunct/>
              <w:spacing w:line="400" w:lineRule="exact"/>
              <w:ind w:firstLineChars="1400" w:firstLine="3360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年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 xml:space="preserve">   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月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 xml:space="preserve">   </w:t>
            </w: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日</w:t>
            </w:r>
          </w:p>
        </w:tc>
      </w:tr>
      <w:tr w:rsidR="008D3F53" w:rsidRPr="008D3F53" w:rsidTr="005B7A7B">
        <w:trPr>
          <w:trHeight w:val="479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黑体"/>
                <w:sz w:val="24"/>
                <w:szCs w:val="24"/>
              </w:rPr>
            </w:pPr>
            <w:r w:rsidRPr="008D3F53">
              <w:rPr>
                <w:rFonts w:ascii="Times New Roman" w:eastAsia="仿宋_GB2312" w:hAnsi="黑体" w:hint="eastAsia"/>
                <w:sz w:val="24"/>
                <w:szCs w:val="24"/>
              </w:rPr>
              <w:t>备注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Pr="008D3F53" w:rsidRDefault="008D3F53" w:rsidP="008D3F53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黑体"/>
                <w:sz w:val="24"/>
                <w:szCs w:val="24"/>
              </w:rPr>
            </w:pPr>
          </w:p>
        </w:tc>
      </w:tr>
    </w:tbl>
    <w:p w:rsidR="008D3F53" w:rsidRPr="008D3F53" w:rsidRDefault="008D3F53" w:rsidP="008D3F53">
      <w:pPr>
        <w:overflowPunct w:val="0"/>
        <w:topLinePunct/>
        <w:spacing w:line="400" w:lineRule="exact"/>
        <w:rPr>
          <w:rFonts w:ascii="Times New Roman" w:eastAsia="仿宋_GB2312" w:hAnsi="黑体" w:cs="Times New Roman"/>
          <w:spacing w:val="-4"/>
          <w:sz w:val="24"/>
          <w:szCs w:val="24"/>
        </w:rPr>
      </w:pP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说明</w:t>
      </w:r>
      <w:r w:rsidRPr="008D3F53">
        <w:rPr>
          <w:rFonts w:ascii="Times New Roman" w:eastAsia="仿宋_GB2312" w:hAnsi="黑体" w:cs="Times New Roman"/>
          <w:spacing w:val="-4"/>
          <w:sz w:val="24"/>
          <w:szCs w:val="24"/>
        </w:rPr>
        <w:t>：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1.</w:t>
      </w:r>
      <w:r w:rsidRPr="008D3F53">
        <w:rPr>
          <w:rFonts w:ascii="Times New Roman" w:eastAsia="仿宋_GB2312" w:hAnsi="黑体" w:cs="Times New Roman"/>
          <w:spacing w:val="-4"/>
          <w:sz w:val="24"/>
          <w:szCs w:val="24"/>
        </w:rPr>
        <w:t>广西广播电视台可以频率频道为单位申报，各市、县广播电视播出机构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以播出</w:t>
      </w:r>
      <w:r w:rsidRPr="008D3F53">
        <w:rPr>
          <w:rFonts w:ascii="Times New Roman" w:eastAsia="仿宋_GB2312" w:hAnsi="黑体" w:cs="Times New Roman"/>
          <w:spacing w:val="-4"/>
          <w:sz w:val="24"/>
          <w:szCs w:val="24"/>
        </w:rPr>
        <w:t>机构为单位申报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，全区各网络视听新媒体平台可申报。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2.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展播数据统计时间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2022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年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8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月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日至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10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月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31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日。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3.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创作公益广告数据统计时间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2022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年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月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日至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10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月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31</w:t>
      </w:r>
      <w:r w:rsidRPr="008D3F53">
        <w:rPr>
          <w:rFonts w:ascii="Times New Roman" w:eastAsia="仿宋_GB2312" w:hAnsi="黑体" w:cs="Times New Roman" w:hint="eastAsia"/>
          <w:spacing w:val="-4"/>
          <w:sz w:val="24"/>
          <w:szCs w:val="24"/>
        </w:rPr>
        <w:t>日。</w:t>
      </w:r>
    </w:p>
    <w:sectPr w:rsidR="008D3F53" w:rsidRPr="008D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3"/>
    <w:rsid w:val="00726278"/>
    <w:rsid w:val="008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2122F-6E55-40E8-971F-D65C913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3F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2022-05-06T09:36:00Z</dcterms:created>
  <dcterms:modified xsi:type="dcterms:W3CDTF">2022-05-06T09:44:00Z</dcterms:modified>
</cp:coreProperties>
</file>