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E113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1F1B5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14:paraId="34E32EB6">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广西壮族自治区广播电视局</w:t>
      </w:r>
    </w:p>
    <w:p w14:paraId="653CBF8E">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非法卫星电视广播地面接收设施整治</w:t>
      </w:r>
      <w:r>
        <w:rPr>
          <w:rFonts w:hint="eastAsia" w:ascii="方正小标宋简体" w:eastAsia="方正小标宋简体"/>
          <w:sz w:val="44"/>
          <w:szCs w:val="44"/>
        </w:rPr>
        <w:t>工作</w:t>
      </w:r>
    </w:p>
    <w:p w14:paraId="1FD32BDB">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扶持资金管理办法（试行）</w:t>
      </w:r>
    </w:p>
    <w:p w14:paraId="255D339F">
      <w:pPr>
        <w:spacing w:line="0" w:lineRule="atLeas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（征求意见稿）</w:t>
      </w:r>
    </w:p>
    <w:p w14:paraId="1FD8597F">
      <w:pPr>
        <w:spacing w:line="540" w:lineRule="exact"/>
        <w:rPr>
          <w:rFonts w:ascii="仿宋_GB2312" w:eastAsia="仿宋_GB2312"/>
          <w:sz w:val="32"/>
          <w:szCs w:val="32"/>
        </w:rPr>
      </w:pPr>
    </w:p>
    <w:p w14:paraId="600C202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第一章 总则</w:t>
      </w:r>
    </w:p>
    <w:p w14:paraId="7AA71D56">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10E7F7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第一条</w:t>
      </w:r>
      <w:r>
        <w:rPr>
          <w:rFonts w:hint="eastAsia" w:ascii="仿宋_GB2312" w:eastAsia="仿宋_GB2312"/>
          <w:sz w:val="32"/>
          <w:szCs w:val="32"/>
        </w:rPr>
        <w:t xml:space="preserve"> 为深入贯彻落实习近平总书记关于总体国家安全观的重要讲话精神，落实中央和自治区关于</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的重要工作部署，</w:t>
      </w:r>
      <w:r>
        <w:rPr>
          <w:rFonts w:hint="eastAsia" w:ascii="仿宋_GB2312" w:eastAsia="仿宋_GB2312"/>
          <w:sz w:val="32"/>
          <w:szCs w:val="32"/>
          <w:lang w:eastAsia="zh-CN"/>
        </w:rPr>
        <w:t>规范</w:t>
      </w:r>
      <w:r>
        <w:rPr>
          <w:rFonts w:hint="eastAsia" w:ascii="仿宋_GB2312" w:eastAsia="仿宋_GB2312"/>
          <w:sz w:val="32"/>
          <w:szCs w:val="32"/>
        </w:rPr>
        <w:t>我区</w:t>
      </w:r>
      <w:r>
        <w:rPr>
          <w:rFonts w:hint="eastAsia" w:ascii="仿宋_GB2312" w:eastAsia="仿宋_GB2312"/>
          <w:sz w:val="32"/>
          <w:szCs w:val="32"/>
          <w:lang w:eastAsia="zh-CN"/>
        </w:rPr>
        <w:t>广播</w:t>
      </w:r>
      <w:r>
        <w:rPr>
          <w:rFonts w:hint="eastAsia" w:ascii="仿宋_GB2312" w:eastAsia="仿宋_GB2312"/>
          <w:sz w:val="32"/>
          <w:szCs w:val="32"/>
        </w:rPr>
        <w:t>电视</w:t>
      </w:r>
      <w:r>
        <w:rPr>
          <w:rFonts w:hint="eastAsia" w:ascii="仿宋_GB2312" w:eastAsia="仿宋_GB2312"/>
          <w:sz w:val="32"/>
          <w:szCs w:val="32"/>
          <w:lang w:eastAsia="zh-CN"/>
        </w:rPr>
        <w:t>节目</w:t>
      </w:r>
      <w:r>
        <w:rPr>
          <w:rFonts w:hint="eastAsia" w:ascii="仿宋_GB2312" w:eastAsia="仿宋_GB2312"/>
          <w:sz w:val="32"/>
          <w:szCs w:val="32"/>
        </w:rPr>
        <w:t>传播秩序，根据《卫星电视广播地面接收设施管理规定》《境外卫星电视频道落地管理办法》《卫星电视广播地面接收设施安装服务暂行办法》《关于进一步加强卫星电视广播地面接收设施管理的意见》等涉及</w:t>
      </w:r>
      <w:r>
        <w:rPr>
          <w:rFonts w:hint="eastAsia" w:ascii="仿宋_GB2312" w:eastAsia="仿宋_GB2312"/>
          <w:sz w:val="32"/>
          <w:szCs w:val="32"/>
          <w:lang w:eastAsia="zh-CN"/>
        </w:rPr>
        <w:t>卫星电视广播地面接收设施</w:t>
      </w:r>
      <w:r>
        <w:rPr>
          <w:rFonts w:hint="eastAsia" w:ascii="仿宋_GB2312" w:eastAsia="仿宋_GB2312"/>
          <w:sz w:val="32"/>
          <w:szCs w:val="32"/>
        </w:rPr>
        <w:t>管理</w:t>
      </w:r>
      <w:r>
        <w:rPr>
          <w:rFonts w:ascii="仿宋_GB2312" w:eastAsia="仿宋_GB2312"/>
          <w:sz w:val="32"/>
          <w:szCs w:val="32"/>
        </w:rPr>
        <w:t>的法律法规</w:t>
      </w:r>
      <w:r>
        <w:rPr>
          <w:rFonts w:hint="eastAsia" w:ascii="仿宋_GB2312" w:eastAsia="仿宋_GB2312"/>
          <w:sz w:val="32"/>
          <w:szCs w:val="32"/>
        </w:rPr>
        <w:t>，结合我区</w:t>
      </w:r>
      <w:r>
        <w:rPr>
          <w:rFonts w:ascii="仿宋_GB2312" w:eastAsia="仿宋_GB2312"/>
          <w:sz w:val="32"/>
          <w:szCs w:val="32"/>
        </w:rPr>
        <w:t>实际，</w:t>
      </w:r>
      <w:r>
        <w:rPr>
          <w:rFonts w:hint="eastAsia" w:ascii="仿宋_GB2312" w:eastAsia="仿宋_GB2312"/>
          <w:sz w:val="32"/>
          <w:szCs w:val="32"/>
        </w:rPr>
        <w:t>特制订本办法。</w:t>
      </w:r>
    </w:p>
    <w:p w14:paraId="46F225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第二条</w:t>
      </w:r>
      <w:r>
        <w:rPr>
          <w:rFonts w:hint="eastAsia" w:ascii="仿宋_GB2312" w:eastAsia="仿宋_GB2312"/>
          <w:sz w:val="32"/>
          <w:szCs w:val="32"/>
        </w:rPr>
        <w:t xml:space="preserve"> 本办法所称广西壮族</w:t>
      </w:r>
      <w:r>
        <w:rPr>
          <w:rFonts w:ascii="仿宋_GB2312" w:eastAsia="仿宋_GB2312"/>
          <w:sz w:val="32"/>
          <w:szCs w:val="32"/>
        </w:rPr>
        <w:t>自治区</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工作扶持资金（以下简称“扶持资金”），来源于自治区级公共财政预算，纳入自治区广电局年度预算，旨在引导和支持广西壮族</w:t>
      </w:r>
      <w:r>
        <w:rPr>
          <w:rFonts w:ascii="仿宋_GB2312" w:eastAsia="仿宋_GB2312"/>
          <w:sz w:val="32"/>
          <w:szCs w:val="32"/>
        </w:rPr>
        <w:t>自治区</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工作的有序开展，提升管理效能，</w:t>
      </w:r>
      <w:r>
        <w:rPr>
          <w:rFonts w:ascii="仿宋_GB2312" w:eastAsia="仿宋_GB2312"/>
          <w:sz w:val="32"/>
          <w:szCs w:val="32"/>
        </w:rPr>
        <w:t>促进工作提档进位</w:t>
      </w:r>
      <w:r>
        <w:rPr>
          <w:rFonts w:hint="eastAsia" w:ascii="仿宋_GB2312" w:eastAsia="仿宋_GB2312"/>
          <w:sz w:val="32"/>
          <w:szCs w:val="32"/>
        </w:rPr>
        <w:t>。</w:t>
      </w:r>
    </w:p>
    <w:p w14:paraId="1767DF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第三条</w:t>
      </w:r>
      <w:r>
        <w:rPr>
          <w:rFonts w:hint="eastAsia" w:ascii="仿宋_GB2312" w:eastAsia="仿宋_GB2312"/>
          <w:sz w:val="32"/>
          <w:szCs w:val="32"/>
        </w:rPr>
        <w:t xml:space="preserve"> 扶持资金的使用应遵循“公开公正、择优扶持、突出重点、注重绩效”的原则，严格执行国家和</w:t>
      </w:r>
      <w:r>
        <w:rPr>
          <w:rFonts w:ascii="仿宋_GB2312" w:eastAsia="仿宋_GB2312"/>
          <w:sz w:val="32"/>
          <w:szCs w:val="32"/>
        </w:rPr>
        <w:t>自治区</w:t>
      </w:r>
      <w:r>
        <w:rPr>
          <w:rFonts w:hint="eastAsia" w:ascii="仿宋_GB2312" w:eastAsia="仿宋_GB2312"/>
          <w:sz w:val="32"/>
          <w:szCs w:val="32"/>
        </w:rPr>
        <w:t>相关法律法规及财务规章制度，接受财政、审计等行政部门的监督检查。</w:t>
      </w:r>
    </w:p>
    <w:p w14:paraId="55106C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14:paraId="2CA6C7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第二章 申报单位与资助范围</w:t>
      </w:r>
    </w:p>
    <w:p w14:paraId="43FAEAAB">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50ECB7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第四条</w:t>
      </w:r>
      <w:r>
        <w:rPr>
          <w:rFonts w:hint="eastAsia" w:ascii="仿宋_GB2312" w:eastAsia="仿宋_GB2312"/>
          <w:sz w:val="32"/>
          <w:szCs w:val="32"/>
        </w:rPr>
        <w:t xml:space="preserve"> 扶持资金申报单位应为广西壮族</w:t>
      </w:r>
      <w:r>
        <w:rPr>
          <w:rFonts w:ascii="仿宋_GB2312" w:eastAsia="仿宋_GB2312"/>
          <w:sz w:val="32"/>
          <w:szCs w:val="32"/>
        </w:rPr>
        <w:t>自治区</w:t>
      </w:r>
      <w:r>
        <w:rPr>
          <w:rFonts w:hint="eastAsia" w:ascii="仿宋_GB2312" w:eastAsia="仿宋_GB2312"/>
          <w:sz w:val="32"/>
          <w:szCs w:val="32"/>
        </w:rPr>
        <w:t>境内依法设立的、负责</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工作的行政部门</w:t>
      </w:r>
      <w:r>
        <w:rPr>
          <w:rFonts w:hint="eastAsia" w:ascii="仿宋_GB2312" w:eastAsia="仿宋_GB2312"/>
          <w:sz w:val="32"/>
          <w:szCs w:val="32"/>
          <w:lang w:eastAsia="zh-CN"/>
        </w:rPr>
        <w:t>或</w:t>
      </w:r>
      <w:r>
        <w:rPr>
          <w:rFonts w:hint="eastAsia" w:ascii="仿宋_GB2312" w:eastAsia="仿宋_GB2312"/>
          <w:sz w:val="32"/>
          <w:szCs w:val="32"/>
        </w:rPr>
        <w:t>文化市场综合执法机构。</w:t>
      </w:r>
    </w:p>
    <w:p w14:paraId="17DD6E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第五条</w:t>
      </w:r>
      <w:r>
        <w:rPr>
          <w:rFonts w:hint="eastAsia" w:ascii="仿宋_GB2312" w:eastAsia="仿宋_GB2312"/>
          <w:sz w:val="32"/>
          <w:szCs w:val="32"/>
        </w:rPr>
        <w:t xml:space="preserve"> 扶持资金主要用于以下方面：</w:t>
      </w:r>
    </w:p>
    <w:p w14:paraId="513D07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（一）支持开展</w:t>
      </w:r>
      <w:r>
        <w:rPr>
          <w:rFonts w:hint="eastAsia" w:ascii="仿宋_GB2312" w:eastAsia="仿宋_GB2312"/>
          <w:sz w:val="32"/>
          <w:szCs w:val="32"/>
          <w:lang w:eastAsia="zh-CN"/>
        </w:rPr>
        <w:t>非法卫星电视广播地面接收设施</w:t>
      </w:r>
      <w:r>
        <w:rPr>
          <w:rFonts w:hint="eastAsia" w:ascii="仿宋_GB2312" w:eastAsia="仿宋_GB2312"/>
          <w:sz w:val="32"/>
          <w:szCs w:val="32"/>
        </w:rPr>
        <w:t>专项整治工作</w:t>
      </w:r>
      <w:r>
        <w:rPr>
          <w:rFonts w:hint="eastAsia" w:ascii="仿宋_GB2312" w:hAnsi="仿宋_GB2312" w:eastAsia="仿宋_GB2312" w:cs="仿宋_GB2312"/>
          <w:sz w:val="32"/>
          <w:szCs w:val="32"/>
          <w:vertAlign w:val="baseline"/>
          <w:lang w:val="en-US" w:eastAsia="zh-CN"/>
        </w:rPr>
        <w:t>（含用于设备购置、维修和运行维护、执法办案工作经费等）</w:t>
      </w:r>
      <w:r>
        <w:rPr>
          <w:rFonts w:hint="eastAsia" w:ascii="仿宋_GB2312" w:eastAsia="仿宋_GB2312"/>
          <w:sz w:val="32"/>
          <w:szCs w:val="32"/>
        </w:rPr>
        <w:t>；</w:t>
      </w:r>
    </w:p>
    <w:p w14:paraId="731418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（二）加强文化市场综合执法及行政综合执法人才的培养；</w:t>
      </w:r>
    </w:p>
    <w:p w14:paraId="6AB49D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（三）提升</w:t>
      </w:r>
      <w:r>
        <w:rPr>
          <w:rFonts w:hint="eastAsia" w:ascii="仿宋_GB2312" w:eastAsia="仿宋_GB2312"/>
          <w:sz w:val="32"/>
          <w:szCs w:val="32"/>
          <w:lang w:eastAsia="zh-CN"/>
        </w:rPr>
        <w:t>卫星电视广播地面接收设施</w:t>
      </w:r>
      <w:r>
        <w:rPr>
          <w:rFonts w:hint="eastAsia" w:ascii="仿宋_GB2312" w:eastAsia="仿宋_GB2312"/>
          <w:sz w:val="32"/>
          <w:szCs w:val="32"/>
        </w:rPr>
        <w:t>管理工作能力和水平。</w:t>
      </w:r>
    </w:p>
    <w:p w14:paraId="217F13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第六条</w:t>
      </w:r>
      <w:r>
        <w:rPr>
          <w:rFonts w:hint="eastAsia" w:ascii="仿宋_GB2312" w:eastAsia="仿宋_GB2312"/>
          <w:sz w:val="32"/>
          <w:szCs w:val="32"/>
        </w:rPr>
        <w:t xml:space="preserve"> 扶持资金分为两类：</w:t>
      </w:r>
    </w:p>
    <w:p w14:paraId="44A1DD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（一）优秀市级</w:t>
      </w:r>
      <w:r>
        <w:rPr>
          <w:rFonts w:hint="eastAsia" w:ascii="仿宋_GB2312" w:eastAsia="仿宋_GB2312"/>
          <w:sz w:val="32"/>
          <w:szCs w:val="32"/>
          <w:lang w:eastAsia="zh-CN"/>
        </w:rPr>
        <w:t>非法卫星电视广播地面接收设施整治工作的</w:t>
      </w:r>
      <w:r>
        <w:rPr>
          <w:rFonts w:hint="eastAsia" w:ascii="仿宋_GB2312" w:eastAsia="仿宋_GB2312"/>
          <w:sz w:val="32"/>
          <w:szCs w:val="32"/>
        </w:rPr>
        <w:t>行政部门</w:t>
      </w:r>
      <w:r>
        <w:rPr>
          <w:rFonts w:hint="eastAsia" w:ascii="仿宋_GB2312" w:eastAsia="仿宋_GB2312"/>
          <w:sz w:val="32"/>
          <w:szCs w:val="32"/>
          <w:lang w:eastAsia="zh-CN"/>
        </w:rPr>
        <w:t>或</w:t>
      </w:r>
      <w:r>
        <w:rPr>
          <w:rFonts w:hint="eastAsia" w:ascii="仿宋_GB2312" w:eastAsia="仿宋_GB2312"/>
          <w:sz w:val="32"/>
          <w:szCs w:val="32"/>
        </w:rPr>
        <w:t>文化市场综合执法机构扶持资金，分为一类3万元、二类2万元、三类1万元；</w:t>
      </w:r>
    </w:p>
    <w:p w14:paraId="7F32A4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（二）优秀县级</w:t>
      </w:r>
      <w:r>
        <w:rPr>
          <w:rFonts w:hint="eastAsia" w:ascii="仿宋_GB2312" w:eastAsia="仿宋_GB2312"/>
          <w:sz w:val="32"/>
          <w:szCs w:val="32"/>
          <w:lang w:eastAsia="zh-CN"/>
        </w:rPr>
        <w:t>非法卫星电视广播地面接收设施整治工作的</w:t>
      </w:r>
      <w:r>
        <w:rPr>
          <w:rFonts w:hint="eastAsia" w:ascii="仿宋_GB2312" w:eastAsia="仿宋_GB2312"/>
          <w:sz w:val="32"/>
          <w:szCs w:val="32"/>
        </w:rPr>
        <w:t>行政部门</w:t>
      </w:r>
      <w:r>
        <w:rPr>
          <w:rFonts w:hint="eastAsia" w:ascii="仿宋_GB2312" w:eastAsia="仿宋_GB2312"/>
          <w:sz w:val="32"/>
          <w:szCs w:val="32"/>
          <w:lang w:eastAsia="zh-CN"/>
        </w:rPr>
        <w:t>或</w:t>
      </w:r>
      <w:r>
        <w:rPr>
          <w:rFonts w:hint="eastAsia" w:ascii="仿宋_GB2312" w:eastAsia="仿宋_GB2312"/>
          <w:sz w:val="32"/>
          <w:szCs w:val="32"/>
        </w:rPr>
        <w:t>文化市场综合执法机构扶持资金1万元。</w:t>
      </w:r>
    </w:p>
    <w:p w14:paraId="1C6EAE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各类型的评选数量由</w:t>
      </w:r>
      <w:r>
        <w:rPr>
          <w:rFonts w:ascii="仿宋_GB2312" w:eastAsia="仿宋_GB2312"/>
          <w:sz w:val="32"/>
          <w:szCs w:val="32"/>
        </w:rPr>
        <w:t>自治区</w:t>
      </w:r>
      <w:r>
        <w:rPr>
          <w:rFonts w:hint="eastAsia" w:ascii="仿宋_GB2312" w:eastAsia="仿宋_GB2312"/>
          <w:sz w:val="32"/>
          <w:szCs w:val="32"/>
        </w:rPr>
        <w:t>广电局根据年度工作安排和预算情况而定</w:t>
      </w:r>
      <w:r>
        <w:rPr>
          <w:rFonts w:hint="eastAsia" w:ascii="仿宋_GB2312" w:eastAsia="仿宋_GB2312"/>
          <w:sz w:val="32"/>
          <w:szCs w:val="32"/>
          <w:lang w:eastAsia="zh-CN"/>
        </w:rPr>
        <w:t>，原则上同一地区只能申报一个单位</w:t>
      </w:r>
      <w:r>
        <w:rPr>
          <w:rFonts w:hint="eastAsia" w:ascii="仿宋_GB2312" w:eastAsia="仿宋_GB2312"/>
          <w:sz w:val="32"/>
          <w:szCs w:val="32"/>
        </w:rPr>
        <w:t>。</w:t>
      </w:r>
    </w:p>
    <w:p w14:paraId="7636E3DB">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177DE0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第三章 申报项目基本要求</w:t>
      </w:r>
    </w:p>
    <w:p w14:paraId="1CA1240D">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516E25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第七条</w:t>
      </w:r>
      <w:r>
        <w:rPr>
          <w:rFonts w:hint="eastAsia" w:ascii="仿宋_GB2312" w:eastAsia="仿宋_GB2312"/>
          <w:sz w:val="32"/>
          <w:szCs w:val="32"/>
        </w:rPr>
        <w:t xml:space="preserve"> 申报项目应体现</w:t>
      </w:r>
      <w:r>
        <w:rPr>
          <w:rFonts w:hint="eastAsia" w:ascii="仿宋_GB2312" w:eastAsia="仿宋_GB2312"/>
          <w:sz w:val="32"/>
          <w:szCs w:val="32"/>
          <w:lang w:eastAsia="zh-CN"/>
        </w:rPr>
        <w:t>卫星电视广播地面接收设施管理的</w:t>
      </w:r>
      <w:r>
        <w:rPr>
          <w:rFonts w:hint="eastAsia" w:ascii="仿宋_GB2312" w:eastAsia="仿宋_GB2312"/>
          <w:sz w:val="32"/>
          <w:szCs w:val="32"/>
        </w:rPr>
        <w:t>重要性，确保</w:t>
      </w:r>
      <w:r>
        <w:rPr>
          <w:rFonts w:hint="eastAsia" w:ascii="仿宋_GB2312" w:eastAsia="仿宋_GB2312"/>
          <w:sz w:val="32"/>
          <w:szCs w:val="32"/>
          <w:lang w:eastAsia="zh-CN"/>
        </w:rPr>
        <w:t>我区广播</w:t>
      </w:r>
      <w:r>
        <w:rPr>
          <w:rFonts w:hint="eastAsia" w:ascii="仿宋_GB2312" w:eastAsia="仿宋_GB2312"/>
          <w:sz w:val="32"/>
          <w:szCs w:val="32"/>
        </w:rPr>
        <w:t>电视</w:t>
      </w:r>
      <w:r>
        <w:rPr>
          <w:rFonts w:hint="eastAsia" w:ascii="仿宋_GB2312" w:eastAsia="仿宋_GB2312"/>
          <w:sz w:val="32"/>
          <w:szCs w:val="32"/>
          <w:lang w:eastAsia="zh-CN"/>
        </w:rPr>
        <w:t>节目</w:t>
      </w:r>
      <w:r>
        <w:rPr>
          <w:rFonts w:hint="eastAsia" w:ascii="仿宋_GB2312" w:eastAsia="仿宋_GB2312"/>
          <w:sz w:val="32"/>
          <w:szCs w:val="32"/>
        </w:rPr>
        <w:t>传播秩序</w:t>
      </w:r>
      <w:r>
        <w:rPr>
          <w:rFonts w:hint="eastAsia" w:ascii="仿宋_GB2312" w:eastAsia="仿宋_GB2312"/>
          <w:sz w:val="32"/>
          <w:szCs w:val="32"/>
          <w:lang w:eastAsia="zh-CN"/>
        </w:rPr>
        <w:t>健康有序，促进社会主义精神文明建设</w:t>
      </w:r>
      <w:r>
        <w:rPr>
          <w:rFonts w:hint="eastAsia" w:ascii="仿宋_GB2312" w:eastAsia="仿宋_GB2312"/>
          <w:sz w:val="32"/>
          <w:szCs w:val="32"/>
        </w:rPr>
        <w:t>。</w:t>
      </w:r>
    </w:p>
    <w:p w14:paraId="73403D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第八条</w:t>
      </w:r>
      <w:r>
        <w:rPr>
          <w:rFonts w:hint="eastAsia" w:ascii="仿宋_GB2312" w:eastAsia="仿宋_GB2312"/>
          <w:sz w:val="32"/>
          <w:szCs w:val="32"/>
        </w:rPr>
        <w:t xml:space="preserve"> 申报单位需为在</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工作中取得优异成绩，且在平安建设考评中表现优秀的机构。</w:t>
      </w:r>
    </w:p>
    <w:p w14:paraId="274180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14:paraId="496694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第四章 项目申报、评审与确定</w:t>
      </w:r>
    </w:p>
    <w:p w14:paraId="09784C16">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5ECD8D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第九条</w:t>
      </w:r>
      <w:r>
        <w:rPr>
          <w:rFonts w:hint="eastAsia" w:ascii="仿宋_GB2312" w:eastAsia="仿宋_GB2312"/>
          <w:sz w:val="32"/>
          <w:szCs w:val="32"/>
        </w:rPr>
        <w:t xml:space="preserve"> 每年4月底前，自治区</w:t>
      </w:r>
      <w:r>
        <w:rPr>
          <w:rFonts w:ascii="仿宋_GB2312" w:eastAsia="仿宋_GB2312"/>
          <w:sz w:val="32"/>
          <w:szCs w:val="32"/>
        </w:rPr>
        <w:t>广电局</w:t>
      </w:r>
      <w:r>
        <w:rPr>
          <w:rFonts w:hint="eastAsia" w:ascii="仿宋_GB2312" w:eastAsia="仿宋_GB2312"/>
          <w:sz w:val="32"/>
          <w:szCs w:val="32"/>
        </w:rPr>
        <w:t>将下发项目申报通知。各申报单位需按照通知要求，于5月中旬前提交《</w:t>
      </w:r>
      <w:r>
        <w:rPr>
          <w:rFonts w:ascii="仿宋_GB2312" w:eastAsia="仿宋_GB2312"/>
          <w:sz w:val="32"/>
          <w:szCs w:val="32"/>
        </w:rPr>
        <w:t>自治区</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工作扶持资金项目申请表》及相关证明材料，纸质版及电子版各一份。</w:t>
      </w:r>
    </w:p>
    <w:p w14:paraId="6E6D52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第十条</w:t>
      </w:r>
      <w:r>
        <w:rPr>
          <w:rFonts w:hint="eastAsia" w:ascii="仿宋_GB2312" w:eastAsia="仿宋_GB2312"/>
          <w:sz w:val="32"/>
          <w:szCs w:val="32"/>
        </w:rPr>
        <w:t xml:space="preserve"> 申报项目需经各市级广电行政部门审核汇总后上报。申报材料应包括但不限于项目开展情况报告、相关证明材料及绩效目标等。</w:t>
      </w:r>
    </w:p>
    <w:p w14:paraId="2D2B12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第十一条</w:t>
      </w:r>
      <w:r>
        <w:rPr>
          <w:rFonts w:hint="eastAsia" w:ascii="仿宋_GB2312" w:eastAsia="仿宋_GB2312"/>
          <w:sz w:val="32"/>
          <w:szCs w:val="32"/>
        </w:rPr>
        <w:t xml:space="preserve"> 项目评审原则如下：</w:t>
      </w:r>
    </w:p>
    <w:p w14:paraId="0ACE18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（一）合规性：项目应符合国家及</w:t>
      </w:r>
      <w:r>
        <w:rPr>
          <w:rFonts w:ascii="仿宋_GB2312" w:eastAsia="仿宋_GB2312"/>
          <w:sz w:val="32"/>
          <w:szCs w:val="32"/>
        </w:rPr>
        <w:t>自治区</w:t>
      </w:r>
      <w:r>
        <w:rPr>
          <w:rFonts w:hint="eastAsia" w:ascii="仿宋_GB2312" w:eastAsia="仿宋_GB2312"/>
          <w:sz w:val="32"/>
          <w:szCs w:val="32"/>
        </w:rPr>
        <w:t>相关法律法规要求，遵循</w:t>
      </w:r>
      <w:r>
        <w:rPr>
          <w:rFonts w:hint="eastAsia" w:ascii="仿宋_GB2312" w:eastAsia="仿宋_GB2312"/>
          <w:sz w:val="32"/>
          <w:szCs w:val="32"/>
          <w:lang w:eastAsia="zh-CN"/>
        </w:rPr>
        <w:t>卫星电视广播地面接收设施</w:t>
      </w:r>
      <w:r>
        <w:rPr>
          <w:rFonts w:hint="eastAsia" w:ascii="仿宋_GB2312" w:eastAsia="仿宋_GB2312"/>
          <w:sz w:val="32"/>
          <w:szCs w:val="32"/>
        </w:rPr>
        <w:t>管理政策导向；</w:t>
      </w:r>
    </w:p>
    <w:p w14:paraId="2522FE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（二）绩效性：项目应具有明确的目标、预期效益及可行的实施方案，能够产生良好的社会效益；</w:t>
      </w:r>
    </w:p>
    <w:p w14:paraId="4D27AA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（三）创新性：项目在管理机制、技术手段或服务模式等方面有创新举措，能够提升</w:t>
      </w:r>
      <w:r>
        <w:rPr>
          <w:rFonts w:hint="eastAsia" w:ascii="仿宋_GB2312" w:eastAsia="仿宋_GB2312"/>
          <w:sz w:val="32"/>
          <w:szCs w:val="32"/>
          <w:lang w:eastAsia="zh-CN"/>
        </w:rPr>
        <w:t>卫星电视广播地面接收设施管理</w:t>
      </w:r>
      <w:r>
        <w:rPr>
          <w:rFonts w:hint="eastAsia" w:ascii="仿宋_GB2312" w:eastAsia="仿宋_GB2312"/>
          <w:sz w:val="32"/>
          <w:szCs w:val="32"/>
        </w:rPr>
        <w:t>工作水平；</w:t>
      </w:r>
    </w:p>
    <w:p w14:paraId="38706E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（四）可持续性：项目应考虑长期效益，具备可持续发展的能力；</w:t>
      </w:r>
    </w:p>
    <w:p w14:paraId="751CEC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（五）评审程序：</w:t>
      </w:r>
      <w:r>
        <w:rPr>
          <w:rFonts w:hint="eastAsia" w:ascii="仿宋_GB2312" w:eastAsia="仿宋_GB2312"/>
          <w:sz w:val="32"/>
          <w:szCs w:val="32"/>
          <w:lang w:eastAsia="zh-CN"/>
        </w:rPr>
        <w:t>自治区广电局或委托授权机构组织专家，负责对申报的项目进行评审，提出评审认定意见，并报自治区广电局集体讨论决定。评审程序</w:t>
      </w:r>
      <w:r>
        <w:rPr>
          <w:rFonts w:hint="eastAsia" w:ascii="仿宋_GB2312" w:eastAsia="仿宋_GB2312"/>
          <w:sz w:val="32"/>
          <w:szCs w:val="32"/>
        </w:rPr>
        <w:t>遵循</w:t>
      </w:r>
      <w:r>
        <w:rPr>
          <w:rFonts w:ascii="仿宋_GB2312" w:eastAsia="仿宋_GB2312"/>
          <w:sz w:val="32"/>
          <w:szCs w:val="32"/>
        </w:rPr>
        <w:t>自治区广电局</w:t>
      </w:r>
      <w:r>
        <w:rPr>
          <w:rFonts w:hint="eastAsia" w:ascii="仿宋_GB2312" w:eastAsia="仿宋_GB2312"/>
          <w:sz w:val="32"/>
          <w:szCs w:val="32"/>
        </w:rPr>
        <w:t>相关评审管理办法，确保评审过程公开、公平、公正。</w:t>
      </w:r>
    </w:p>
    <w:p w14:paraId="098E7C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第十二条</w:t>
      </w:r>
      <w:r>
        <w:rPr>
          <w:rFonts w:hint="eastAsia" w:ascii="仿宋_GB2312" w:eastAsia="仿宋_GB2312"/>
          <w:sz w:val="32"/>
          <w:szCs w:val="32"/>
        </w:rPr>
        <w:t xml:space="preserve"> 项目评审主要内容：</w:t>
      </w:r>
    </w:p>
    <w:p w14:paraId="1C8B8B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（一）组织领导：评估申报单位在</w:t>
      </w:r>
      <w:r>
        <w:rPr>
          <w:rFonts w:hint="eastAsia" w:ascii="仿宋_GB2312" w:eastAsia="仿宋_GB2312"/>
          <w:sz w:val="32"/>
          <w:szCs w:val="32"/>
          <w:lang w:eastAsia="zh-CN"/>
        </w:rPr>
        <w:t>非法卫星电视广播地面接收设施整治</w:t>
      </w:r>
      <w:r>
        <w:rPr>
          <w:rFonts w:hint="eastAsia" w:ascii="仿宋_GB2312" w:eastAsia="仿宋_GB2312"/>
          <w:sz w:val="32"/>
          <w:szCs w:val="32"/>
        </w:rPr>
        <w:t>工作中的组织架构、领导重视程度、团队协作及责任分工等方面的情况。</w:t>
      </w:r>
    </w:p>
    <w:p w14:paraId="467713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（二）整治效果：根据申报单位提供的材料，评估其在</w:t>
      </w:r>
      <w:r>
        <w:rPr>
          <w:rFonts w:hint="eastAsia" w:ascii="仿宋_GB2312" w:eastAsia="仿宋_GB2312"/>
          <w:sz w:val="32"/>
          <w:szCs w:val="32"/>
          <w:lang w:eastAsia="zh-CN"/>
        </w:rPr>
        <w:t>非法卫星电视广播地面接收设施</w:t>
      </w:r>
      <w:r>
        <w:rPr>
          <w:rFonts w:hint="eastAsia" w:ascii="仿宋_GB2312" w:eastAsia="仿宋_GB2312"/>
          <w:sz w:val="32"/>
          <w:szCs w:val="32"/>
        </w:rPr>
        <w:t>整治工作中取得的成效，包括但不限于查处违法违规行为、打击非法卫星</w:t>
      </w:r>
      <w:r>
        <w:rPr>
          <w:rFonts w:ascii="仿宋_GB2312" w:eastAsia="仿宋_GB2312"/>
          <w:sz w:val="32"/>
          <w:szCs w:val="32"/>
        </w:rPr>
        <w:t>电视地面</w:t>
      </w:r>
      <w:r>
        <w:rPr>
          <w:rFonts w:hint="eastAsia" w:ascii="仿宋_GB2312" w:eastAsia="仿宋_GB2312"/>
          <w:sz w:val="32"/>
          <w:szCs w:val="32"/>
        </w:rPr>
        <w:t>接收设施等方面的成果。</w:t>
      </w:r>
    </w:p>
    <w:p w14:paraId="759A12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（三）长效机制建设：考察申报单位在建立健全境外</w:t>
      </w:r>
      <w:r>
        <w:rPr>
          <w:rFonts w:hint="eastAsia" w:ascii="仿宋_GB2312" w:eastAsia="仿宋_GB2312"/>
          <w:sz w:val="32"/>
          <w:szCs w:val="32"/>
          <w:lang w:eastAsia="zh-CN"/>
        </w:rPr>
        <w:t>卫星</w:t>
      </w:r>
      <w:r>
        <w:rPr>
          <w:rFonts w:hint="eastAsia" w:ascii="仿宋_GB2312" w:eastAsia="仿宋_GB2312"/>
          <w:sz w:val="32"/>
          <w:szCs w:val="32"/>
        </w:rPr>
        <w:t>电视管理工作长效机制方面的努力，包括制度建设、人员培训、技术手段应用、监督检查等方面的举措和成效。</w:t>
      </w:r>
    </w:p>
    <w:p w14:paraId="5E1D2A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（四）宣传及信息沟通：评估申报单位在宣传国家相关法律法规、普及卫星电视</w:t>
      </w:r>
      <w:r>
        <w:rPr>
          <w:rFonts w:hint="eastAsia" w:ascii="仿宋_GB2312" w:eastAsia="仿宋_GB2312"/>
          <w:sz w:val="32"/>
          <w:szCs w:val="32"/>
          <w:lang w:eastAsia="zh-CN"/>
        </w:rPr>
        <w:t>广播地面接收设施</w:t>
      </w:r>
      <w:r>
        <w:rPr>
          <w:rFonts w:hint="eastAsia" w:ascii="仿宋_GB2312" w:eastAsia="仿宋_GB2312"/>
          <w:sz w:val="32"/>
          <w:szCs w:val="32"/>
        </w:rPr>
        <w:t>管理知识、加强与社会各界的沟通协作等方面的表现，以及其在提高公众对</w:t>
      </w:r>
      <w:r>
        <w:rPr>
          <w:rFonts w:hint="eastAsia" w:ascii="仿宋_GB2312" w:eastAsia="仿宋_GB2312"/>
          <w:sz w:val="32"/>
          <w:szCs w:val="32"/>
          <w:lang w:eastAsia="zh-CN"/>
        </w:rPr>
        <w:t>非法</w:t>
      </w:r>
      <w:r>
        <w:rPr>
          <w:rFonts w:hint="eastAsia" w:ascii="仿宋_GB2312" w:eastAsia="仿宋_GB2312"/>
          <w:sz w:val="32"/>
          <w:szCs w:val="32"/>
        </w:rPr>
        <w:t>卫星电视</w:t>
      </w:r>
      <w:r>
        <w:rPr>
          <w:rFonts w:hint="eastAsia" w:ascii="仿宋_GB2312" w:eastAsia="仿宋_GB2312"/>
          <w:sz w:val="32"/>
          <w:szCs w:val="32"/>
          <w:lang w:eastAsia="zh-CN"/>
        </w:rPr>
        <w:t>广播地面接收设施整治</w:t>
      </w:r>
      <w:r>
        <w:rPr>
          <w:rFonts w:hint="eastAsia" w:ascii="仿宋_GB2312" w:eastAsia="仿宋_GB2312"/>
          <w:sz w:val="32"/>
          <w:szCs w:val="32"/>
        </w:rPr>
        <w:t>工作的认识和支持度方面所做的努力。</w:t>
      </w:r>
    </w:p>
    <w:p w14:paraId="0CEED0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第十三条</w:t>
      </w:r>
      <w:r>
        <w:rPr>
          <w:rFonts w:hint="eastAsia" w:ascii="仿宋_GB2312" w:eastAsia="仿宋_GB2312"/>
          <w:sz w:val="32"/>
          <w:szCs w:val="32"/>
        </w:rPr>
        <w:t xml:space="preserve"> 评审结果经</w:t>
      </w:r>
      <w:r>
        <w:rPr>
          <w:rFonts w:ascii="仿宋_GB2312" w:eastAsia="仿宋_GB2312"/>
          <w:sz w:val="32"/>
          <w:szCs w:val="32"/>
        </w:rPr>
        <w:t>自治区广电局</w:t>
      </w:r>
      <w:r>
        <w:rPr>
          <w:rFonts w:hint="eastAsia" w:ascii="仿宋_GB2312" w:eastAsia="仿宋_GB2312"/>
          <w:sz w:val="32"/>
          <w:szCs w:val="32"/>
        </w:rPr>
        <w:t>审核批准后，将在</w:t>
      </w:r>
      <w:r>
        <w:rPr>
          <w:rFonts w:ascii="仿宋_GB2312" w:eastAsia="仿宋_GB2312"/>
          <w:sz w:val="32"/>
          <w:szCs w:val="32"/>
        </w:rPr>
        <w:t>自治区广电局官网</w:t>
      </w:r>
      <w:r>
        <w:rPr>
          <w:rFonts w:hint="eastAsia" w:ascii="仿宋_GB2312" w:eastAsia="仿宋_GB2312"/>
          <w:sz w:val="32"/>
          <w:szCs w:val="32"/>
        </w:rPr>
        <w:t>公示5个工作日，无异议后正式下发评审结果通知，并拨付扶持资金。</w:t>
      </w:r>
    </w:p>
    <w:p w14:paraId="5B5E25BC">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7E41B8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 xml:space="preserve">第五章 </w:t>
      </w:r>
      <w:r>
        <w:rPr>
          <w:rFonts w:hint="eastAsia" w:ascii="黑体" w:hAnsi="黑体" w:eastAsia="黑体"/>
          <w:sz w:val="32"/>
          <w:szCs w:val="32"/>
          <w:lang w:eastAsia="zh-CN"/>
        </w:rPr>
        <w:t>扶持资金</w:t>
      </w:r>
      <w:r>
        <w:rPr>
          <w:rFonts w:hint="eastAsia" w:ascii="黑体" w:hAnsi="黑体" w:eastAsia="黑体"/>
          <w:sz w:val="32"/>
          <w:szCs w:val="32"/>
        </w:rPr>
        <w:t>使用与管理</w:t>
      </w:r>
    </w:p>
    <w:p w14:paraId="24678709">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36B769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第十四条</w:t>
      </w:r>
      <w:r>
        <w:rPr>
          <w:rFonts w:hint="eastAsia" w:ascii="仿宋_GB2312" w:eastAsia="仿宋_GB2312"/>
          <w:sz w:val="32"/>
          <w:szCs w:val="32"/>
        </w:rPr>
        <w:t xml:space="preserve"> 扶持资金应专款专用，严禁挪作他用。项目实施单位应建立健全财务管理制度，确保资金使用的合规性和效益性。</w:t>
      </w:r>
    </w:p>
    <w:p w14:paraId="4469E0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第十五条</w:t>
      </w:r>
      <w:r>
        <w:rPr>
          <w:rFonts w:hint="eastAsia" w:ascii="仿宋_GB2312" w:eastAsia="仿宋_GB2312"/>
          <w:sz w:val="32"/>
          <w:szCs w:val="32"/>
        </w:rPr>
        <w:t xml:space="preserve"> 项目实施单位法定代表人或主要负责人对项目的实施和资金的管理使用负主要责任。</w:t>
      </w:r>
    </w:p>
    <w:p w14:paraId="48A2E3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第十六条</w:t>
      </w:r>
      <w:r>
        <w:rPr>
          <w:rFonts w:hint="eastAsia" w:ascii="仿宋_GB2312" w:eastAsia="仿宋_GB2312"/>
          <w:sz w:val="32"/>
          <w:szCs w:val="32"/>
        </w:rPr>
        <w:t xml:space="preserve"> </w:t>
      </w:r>
      <w:r>
        <w:rPr>
          <w:rFonts w:ascii="仿宋_GB2312" w:eastAsia="仿宋_GB2312"/>
          <w:sz w:val="32"/>
          <w:szCs w:val="32"/>
        </w:rPr>
        <w:t>自治区广电局</w:t>
      </w:r>
      <w:r>
        <w:rPr>
          <w:rFonts w:hint="eastAsia" w:ascii="仿宋_GB2312" w:eastAsia="仿宋_GB2312"/>
          <w:sz w:val="32"/>
          <w:szCs w:val="32"/>
        </w:rPr>
        <w:t>将</w:t>
      </w:r>
      <w:r>
        <w:rPr>
          <w:rFonts w:hint="eastAsia" w:ascii="仿宋_GB2312" w:eastAsia="仿宋_GB2312"/>
          <w:sz w:val="32"/>
          <w:szCs w:val="32"/>
          <w:lang w:eastAsia="zh-CN"/>
        </w:rPr>
        <w:t>不</w:t>
      </w:r>
      <w:r>
        <w:rPr>
          <w:rFonts w:hint="eastAsia" w:ascii="仿宋_GB2312" w:eastAsia="仿宋_GB2312"/>
          <w:sz w:val="32"/>
          <w:szCs w:val="32"/>
        </w:rPr>
        <w:t>定期对项目实施情况进行监督检查，对资金使用效益进行评估。</w:t>
      </w:r>
    </w:p>
    <w:p w14:paraId="578D49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第十七条</w:t>
      </w:r>
      <w:r>
        <w:rPr>
          <w:rFonts w:hint="eastAsia" w:ascii="仿宋_GB2312" w:eastAsia="仿宋_GB2312"/>
          <w:sz w:val="32"/>
          <w:szCs w:val="32"/>
        </w:rPr>
        <w:t xml:space="preserve"> 项目实施单位如有以下行为之一，将取消其三年内申报扶持资金的资格，并依法依规追究责任：</w:t>
      </w:r>
    </w:p>
    <w:p w14:paraId="2E69AC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（一）申报内容不真实，骗取扶持资金；</w:t>
      </w:r>
    </w:p>
    <w:p w14:paraId="69CA51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（二）截留、挤占、挪用扶持资金；</w:t>
      </w:r>
    </w:p>
    <w:p w14:paraId="6D6348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（三）不配合监督检查或审计；</w:t>
      </w:r>
    </w:p>
    <w:p w14:paraId="397414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（四）其他违反本办法规定的行为。</w:t>
      </w:r>
    </w:p>
    <w:p w14:paraId="4727DB4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23625DC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32"/>
          <w:szCs w:val="32"/>
        </w:rPr>
      </w:pPr>
      <w:r>
        <w:rPr>
          <w:rFonts w:hint="eastAsia" w:ascii="黑体" w:hAnsi="黑体" w:eastAsia="黑体"/>
          <w:sz w:val="32"/>
          <w:szCs w:val="32"/>
        </w:rPr>
        <w:t>第六章 附则</w:t>
      </w:r>
    </w:p>
    <w:p w14:paraId="17C55F9B">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2B168823">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ascii="仿宋_GB2312" w:eastAsia="仿宋_GB2312"/>
          <w:sz w:val="32"/>
          <w:szCs w:val="32"/>
        </w:rPr>
      </w:pPr>
      <w:r>
        <w:rPr>
          <w:rFonts w:hint="eastAsia" w:ascii="黑体" w:hAnsi="黑体" w:eastAsia="黑体" w:cs="黑体"/>
          <w:b w:val="0"/>
          <w:bCs/>
          <w:sz w:val="32"/>
          <w:szCs w:val="32"/>
        </w:rPr>
        <w:t>第十八条</w:t>
      </w:r>
      <w:r>
        <w:rPr>
          <w:rFonts w:hint="eastAsia" w:ascii="仿宋_GB2312" w:eastAsia="仿宋_GB2312"/>
          <w:sz w:val="32"/>
          <w:szCs w:val="32"/>
        </w:rPr>
        <w:t xml:space="preserve"> 本办法由</w:t>
      </w:r>
      <w:r>
        <w:rPr>
          <w:rFonts w:ascii="仿宋_GB2312" w:eastAsia="仿宋_GB2312"/>
          <w:sz w:val="32"/>
          <w:szCs w:val="32"/>
        </w:rPr>
        <w:t>自治区广电局</w:t>
      </w:r>
      <w:r>
        <w:rPr>
          <w:rFonts w:hint="eastAsia" w:ascii="仿宋_GB2312" w:eastAsia="仿宋_GB2312"/>
          <w:sz w:val="32"/>
          <w:szCs w:val="32"/>
        </w:rPr>
        <w:t>负责解释。</w:t>
      </w:r>
    </w:p>
    <w:p w14:paraId="6A3628F0">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default" w:ascii="仿宋_GB2312" w:eastAsia="仿宋_GB2312"/>
          <w:sz w:val="32"/>
          <w:szCs w:val="32"/>
          <w:lang w:val="en-US" w:eastAsia="zh-CN"/>
        </w:rPr>
      </w:pPr>
      <w:r>
        <w:rPr>
          <w:rFonts w:hint="eastAsia" w:ascii="黑体" w:hAnsi="黑体" w:eastAsia="黑体" w:cs="黑体"/>
          <w:b w:val="0"/>
          <w:bCs/>
          <w:sz w:val="32"/>
          <w:szCs w:val="32"/>
          <w:lang w:val="en-US" w:eastAsia="zh-CN"/>
        </w:rPr>
        <w:t>第十九条</w:t>
      </w:r>
      <w:r>
        <w:rPr>
          <w:rFonts w:hint="eastAsia" w:ascii="仿宋_GB2312" w:eastAsia="仿宋_GB2312"/>
          <w:sz w:val="32"/>
          <w:szCs w:val="32"/>
          <w:lang w:val="en-US" w:eastAsia="zh-CN"/>
        </w:rPr>
        <w:t xml:space="preserve"> 自治区广电局可根据国家政策调整、行业发展趋势及本管理办法实施过程中遇到的新情况、新问题，适时对本管理办法进行修订。修订后的管理办法将及时在自治区广电局官方网站公布，并自公布之日起生效。</w:t>
      </w:r>
    </w:p>
    <w:p w14:paraId="4E58C843">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rPr>
        <w:t>条</w:t>
      </w:r>
      <w:r>
        <w:rPr>
          <w:rFonts w:hint="eastAsia" w:ascii="仿宋_GB2312" w:eastAsia="仿宋_GB2312"/>
          <w:sz w:val="32"/>
          <w:szCs w:val="32"/>
        </w:rPr>
        <w:t xml:space="preserve"> 本办法自公布之日起施行</w:t>
      </w:r>
      <w:r>
        <w:rPr>
          <w:rFonts w:hint="eastAsia" w:ascii="仿宋_GB2312" w:eastAsia="仿宋_GB2312"/>
          <w:sz w:val="32"/>
          <w:szCs w:val="32"/>
          <w:lang w:eastAsia="zh-CN"/>
        </w:rPr>
        <w:t>。</w:t>
      </w:r>
    </w:p>
    <w:p w14:paraId="63397015">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rPr>
      </w:pPr>
    </w:p>
    <w:p w14:paraId="7EC8D820">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lang w:eastAsia="zh-CN"/>
        </w:rPr>
      </w:pPr>
      <w:r>
        <w:rPr>
          <w:rFonts w:hint="eastAsia" w:ascii="仿宋_GB2312" w:eastAsia="仿宋_GB2312"/>
          <w:sz w:val="32"/>
          <w:szCs w:val="32"/>
          <w:lang w:eastAsia="zh-CN"/>
        </w:rPr>
        <w:t>附件：自治区非法卫星电视广播地面接收设施整治工作扶持资金项目申请表</w:t>
      </w:r>
    </w:p>
    <w:p w14:paraId="1828C26F">
      <w:pPr>
        <w:spacing w:line="560" w:lineRule="exact"/>
        <w:rPr>
          <w:rFonts w:hint="eastAsia" w:ascii="黑体" w:hAnsi="黑体" w:eastAsia="黑体" w:cs="黑体"/>
          <w:sz w:val="32"/>
          <w:szCs w:val="32"/>
          <w:lang w:eastAsia="zh-CN"/>
        </w:rPr>
      </w:pPr>
    </w:p>
    <w:p w14:paraId="5468253F">
      <w:pPr>
        <w:spacing w:line="560" w:lineRule="exact"/>
        <w:rPr>
          <w:rFonts w:hint="eastAsia" w:ascii="黑体" w:hAnsi="黑体" w:eastAsia="黑体" w:cs="黑体"/>
          <w:sz w:val="32"/>
          <w:szCs w:val="32"/>
          <w:lang w:eastAsia="zh-CN"/>
        </w:rPr>
      </w:pPr>
    </w:p>
    <w:p w14:paraId="3D7FBEDC">
      <w:pPr>
        <w:spacing w:line="560" w:lineRule="exact"/>
        <w:rPr>
          <w:rFonts w:hint="eastAsia" w:ascii="黑体" w:hAnsi="黑体" w:eastAsia="黑体" w:cs="黑体"/>
          <w:sz w:val="32"/>
          <w:szCs w:val="32"/>
          <w:lang w:eastAsia="zh-CN"/>
        </w:rPr>
      </w:pPr>
    </w:p>
    <w:p w14:paraId="069960B0">
      <w:pPr>
        <w:spacing w:line="560" w:lineRule="exact"/>
        <w:rPr>
          <w:rFonts w:hint="eastAsia" w:ascii="黑体" w:hAnsi="黑体" w:eastAsia="黑体" w:cs="黑体"/>
          <w:sz w:val="32"/>
          <w:szCs w:val="32"/>
          <w:lang w:eastAsia="zh-CN"/>
        </w:rPr>
      </w:pPr>
    </w:p>
    <w:p w14:paraId="5B0D74CA">
      <w:pPr>
        <w:spacing w:line="560" w:lineRule="exact"/>
        <w:rPr>
          <w:rFonts w:hint="eastAsia" w:ascii="黑体" w:hAnsi="黑体" w:eastAsia="黑体" w:cs="黑体"/>
          <w:sz w:val="32"/>
          <w:szCs w:val="32"/>
          <w:lang w:eastAsia="zh-CN"/>
        </w:rPr>
      </w:pPr>
    </w:p>
    <w:p w14:paraId="2CC46EE1">
      <w:pPr>
        <w:spacing w:line="560" w:lineRule="exact"/>
        <w:rPr>
          <w:rFonts w:hint="eastAsia" w:ascii="黑体" w:hAnsi="黑体" w:eastAsia="黑体" w:cs="黑体"/>
          <w:sz w:val="32"/>
          <w:szCs w:val="32"/>
          <w:lang w:eastAsia="zh-CN"/>
        </w:rPr>
      </w:pPr>
    </w:p>
    <w:p w14:paraId="10C76221">
      <w:pPr>
        <w:spacing w:line="560" w:lineRule="exact"/>
        <w:rPr>
          <w:rFonts w:hint="eastAsia" w:ascii="黑体" w:hAnsi="黑体" w:eastAsia="黑体" w:cs="黑体"/>
          <w:sz w:val="32"/>
          <w:szCs w:val="32"/>
          <w:lang w:eastAsia="zh-CN"/>
        </w:rPr>
      </w:pPr>
    </w:p>
    <w:p w14:paraId="68900424">
      <w:pPr>
        <w:spacing w:line="560" w:lineRule="exact"/>
        <w:rPr>
          <w:rFonts w:hint="eastAsia" w:ascii="黑体" w:hAnsi="黑体" w:eastAsia="黑体" w:cs="黑体"/>
          <w:sz w:val="32"/>
          <w:szCs w:val="32"/>
          <w:lang w:eastAsia="zh-CN"/>
        </w:rPr>
      </w:pPr>
    </w:p>
    <w:p w14:paraId="439A5E12">
      <w:pPr>
        <w:spacing w:line="560" w:lineRule="exact"/>
        <w:rPr>
          <w:rFonts w:hint="eastAsia" w:ascii="黑体" w:hAnsi="黑体" w:eastAsia="黑体" w:cs="黑体"/>
          <w:sz w:val="32"/>
          <w:szCs w:val="32"/>
          <w:lang w:eastAsia="zh-CN"/>
        </w:rPr>
      </w:pPr>
    </w:p>
    <w:p w14:paraId="438E91E4">
      <w:pPr>
        <w:spacing w:line="560" w:lineRule="exact"/>
        <w:rPr>
          <w:rFonts w:hint="eastAsia" w:ascii="黑体" w:hAnsi="黑体" w:eastAsia="黑体" w:cs="黑体"/>
          <w:sz w:val="32"/>
          <w:szCs w:val="32"/>
          <w:lang w:eastAsia="zh-CN"/>
        </w:rPr>
      </w:pPr>
    </w:p>
    <w:p w14:paraId="0B0BA2DF">
      <w:pPr>
        <w:spacing w:line="560" w:lineRule="exact"/>
        <w:rPr>
          <w:rFonts w:hint="eastAsia" w:ascii="黑体" w:hAnsi="黑体" w:eastAsia="黑体" w:cs="黑体"/>
          <w:sz w:val="32"/>
          <w:szCs w:val="32"/>
          <w:lang w:eastAsia="zh-CN"/>
        </w:rPr>
      </w:pPr>
    </w:p>
    <w:p w14:paraId="4CE862BF">
      <w:pPr>
        <w:spacing w:line="560" w:lineRule="exact"/>
        <w:rPr>
          <w:rFonts w:hint="eastAsia" w:ascii="黑体" w:hAnsi="黑体" w:eastAsia="黑体" w:cs="黑体"/>
          <w:sz w:val="32"/>
          <w:szCs w:val="32"/>
          <w:lang w:eastAsia="zh-CN"/>
        </w:rPr>
      </w:pPr>
    </w:p>
    <w:p w14:paraId="21CC11C3">
      <w:pPr>
        <w:spacing w:line="560" w:lineRule="exact"/>
        <w:rPr>
          <w:rFonts w:hint="eastAsia" w:ascii="黑体" w:hAnsi="黑体" w:eastAsia="黑体" w:cs="黑体"/>
          <w:sz w:val="32"/>
          <w:szCs w:val="32"/>
          <w:lang w:eastAsia="zh-CN"/>
        </w:rPr>
      </w:pPr>
    </w:p>
    <w:p w14:paraId="05342DAA">
      <w:pPr>
        <w:spacing w:line="560" w:lineRule="exact"/>
        <w:rPr>
          <w:rFonts w:hint="eastAsia" w:ascii="黑体" w:hAnsi="黑体" w:eastAsia="黑体" w:cs="黑体"/>
          <w:sz w:val="32"/>
          <w:szCs w:val="32"/>
          <w:lang w:eastAsia="zh-CN"/>
        </w:rPr>
      </w:pPr>
    </w:p>
    <w:p w14:paraId="02913173">
      <w:pPr>
        <w:spacing w:line="560" w:lineRule="exact"/>
        <w:rPr>
          <w:rFonts w:hint="eastAsia" w:ascii="黑体" w:hAnsi="黑体" w:eastAsia="黑体" w:cs="黑体"/>
          <w:sz w:val="32"/>
          <w:szCs w:val="32"/>
          <w:lang w:eastAsia="zh-CN"/>
        </w:rPr>
      </w:pPr>
    </w:p>
    <w:p w14:paraId="66142CA2">
      <w:pPr>
        <w:spacing w:line="560" w:lineRule="exact"/>
        <w:rPr>
          <w:rFonts w:hint="eastAsia" w:ascii="黑体" w:hAnsi="黑体" w:eastAsia="黑体" w:cs="黑体"/>
          <w:sz w:val="32"/>
          <w:szCs w:val="32"/>
          <w:lang w:eastAsia="zh-CN"/>
        </w:rPr>
      </w:pPr>
    </w:p>
    <w:p w14:paraId="40A3976D">
      <w:pPr>
        <w:spacing w:line="560" w:lineRule="exact"/>
        <w:rPr>
          <w:rFonts w:hint="eastAsia" w:ascii="黑体" w:hAnsi="黑体" w:eastAsia="黑体" w:cs="黑体"/>
          <w:sz w:val="32"/>
          <w:szCs w:val="32"/>
          <w:lang w:eastAsia="zh-CN"/>
        </w:rPr>
      </w:pPr>
    </w:p>
    <w:p w14:paraId="58DBF7E7">
      <w:pPr>
        <w:spacing w:line="560" w:lineRule="exact"/>
        <w:rPr>
          <w:rFonts w:hint="eastAsia" w:ascii="黑体" w:hAnsi="黑体" w:eastAsia="黑体" w:cs="黑体"/>
          <w:sz w:val="32"/>
          <w:szCs w:val="32"/>
          <w:lang w:eastAsia="zh-CN"/>
        </w:rPr>
      </w:pPr>
    </w:p>
    <w:p w14:paraId="3BC200E8">
      <w:pPr>
        <w:spacing w:line="560" w:lineRule="exact"/>
        <w:rPr>
          <w:rFonts w:hint="eastAsia" w:ascii="黑体" w:hAnsi="黑体" w:eastAsia="黑体" w:cs="黑体"/>
          <w:sz w:val="32"/>
          <w:szCs w:val="32"/>
          <w:lang w:eastAsia="zh-CN"/>
        </w:rPr>
      </w:pPr>
    </w:p>
    <w:p w14:paraId="3ABFD5FA">
      <w:pPr>
        <w:spacing w:line="560" w:lineRule="exact"/>
        <w:rPr>
          <w:rFonts w:hint="eastAsia" w:ascii="黑体" w:hAnsi="黑体" w:eastAsia="黑体" w:cs="黑体"/>
          <w:sz w:val="32"/>
          <w:szCs w:val="32"/>
          <w:lang w:eastAsia="zh-CN"/>
        </w:rPr>
      </w:pPr>
    </w:p>
    <w:p w14:paraId="738A5397">
      <w:pPr>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14:paraId="73E36495">
      <w:pPr>
        <w:spacing w:line="560" w:lineRule="exact"/>
        <w:rPr>
          <w:rFonts w:hint="eastAsia" w:ascii="黑体" w:hAnsi="黑体" w:eastAsia="黑体" w:cs="黑体"/>
          <w:sz w:val="32"/>
          <w:szCs w:val="32"/>
          <w:lang w:eastAsia="zh-CN"/>
        </w:rPr>
      </w:pPr>
    </w:p>
    <w:p w14:paraId="5C3D76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eastAsia="方正小标宋简体"/>
          <w:sz w:val="36"/>
          <w:szCs w:val="32"/>
        </w:rPr>
      </w:pPr>
      <w:r>
        <w:rPr>
          <w:rFonts w:hint="eastAsia" w:ascii="方正小标宋简体" w:eastAsia="方正小标宋简体"/>
          <w:sz w:val="44"/>
          <w:szCs w:val="40"/>
        </w:rPr>
        <w:t>自治区</w:t>
      </w:r>
      <w:r>
        <w:rPr>
          <w:rFonts w:hint="eastAsia" w:ascii="方正小标宋简体" w:eastAsia="方正小标宋简体"/>
          <w:sz w:val="44"/>
          <w:szCs w:val="40"/>
          <w:lang w:eastAsia="zh-CN"/>
        </w:rPr>
        <w:t>非法卫星广播电视地面接收设施整治</w:t>
      </w:r>
      <w:r>
        <w:rPr>
          <w:rFonts w:hint="eastAsia" w:ascii="方正小标宋简体" w:eastAsia="方正小标宋简体"/>
          <w:sz w:val="44"/>
          <w:szCs w:val="40"/>
        </w:rPr>
        <w:t>工作扶持资金项目申请表</w:t>
      </w:r>
    </w:p>
    <w:tbl>
      <w:tblPr>
        <w:tblStyle w:val="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068"/>
        <w:gridCol w:w="2536"/>
        <w:gridCol w:w="1871"/>
      </w:tblGrid>
      <w:tr w14:paraId="0584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323" w:type="dxa"/>
            <w:noWrap w:val="0"/>
            <w:vAlign w:val="center"/>
          </w:tcPr>
          <w:p w14:paraId="1E82EA62">
            <w:pPr>
              <w:spacing w:line="440" w:lineRule="exact"/>
              <w:jc w:val="center"/>
              <w:rPr>
                <w:rFonts w:ascii="仿宋_GB2312" w:eastAsia="仿宋_GB2312"/>
                <w:sz w:val="32"/>
                <w:szCs w:val="32"/>
              </w:rPr>
            </w:pPr>
            <w:r>
              <w:rPr>
                <w:rFonts w:hint="eastAsia" w:ascii="仿宋_GB2312" w:eastAsia="仿宋_GB2312"/>
                <w:sz w:val="32"/>
                <w:szCs w:val="32"/>
              </w:rPr>
              <w:t>机构名称</w:t>
            </w:r>
          </w:p>
        </w:tc>
        <w:tc>
          <w:tcPr>
            <w:tcW w:w="2068" w:type="dxa"/>
            <w:noWrap w:val="0"/>
            <w:vAlign w:val="center"/>
          </w:tcPr>
          <w:p w14:paraId="6DA62B69">
            <w:pPr>
              <w:spacing w:line="440" w:lineRule="exact"/>
              <w:jc w:val="center"/>
              <w:rPr>
                <w:rFonts w:ascii="仿宋_GB2312" w:eastAsia="仿宋_GB2312"/>
                <w:sz w:val="32"/>
                <w:szCs w:val="32"/>
              </w:rPr>
            </w:pPr>
          </w:p>
        </w:tc>
        <w:tc>
          <w:tcPr>
            <w:tcW w:w="2536" w:type="dxa"/>
            <w:noWrap w:val="0"/>
            <w:vAlign w:val="center"/>
          </w:tcPr>
          <w:p w14:paraId="39AE31F9">
            <w:pPr>
              <w:spacing w:line="440" w:lineRule="exact"/>
              <w:jc w:val="center"/>
              <w:rPr>
                <w:rFonts w:ascii="仿宋_GB2312" w:eastAsia="仿宋_GB2312"/>
                <w:sz w:val="32"/>
                <w:szCs w:val="32"/>
              </w:rPr>
            </w:pPr>
            <w:r>
              <w:rPr>
                <w:rFonts w:hint="eastAsia" w:ascii="仿宋_GB2312" w:eastAsia="仿宋_GB2312"/>
                <w:sz w:val="32"/>
                <w:szCs w:val="32"/>
              </w:rPr>
              <w:t>机构类别（政府机关/事业单位等）</w:t>
            </w:r>
          </w:p>
        </w:tc>
        <w:tc>
          <w:tcPr>
            <w:tcW w:w="1871" w:type="dxa"/>
            <w:noWrap w:val="0"/>
            <w:vAlign w:val="center"/>
          </w:tcPr>
          <w:p w14:paraId="5BF84943">
            <w:pPr>
              <w:spacing w:line="440" w:lineRule="exact"/>
              <w:jc w:val="center"/>
              <w:rPr>
                <w:rFonts w:ascii="仿宋_GB2312" w:eastAsia="仿宋_GB2312"/>
                <w:sz w:val="32"/>
                <w:szCs w:val="32"/>
              </w:rPr>
            </w:pPr>
          </w:p>
        </w:tc>
      </w:tr>
      <w:tr w14:paraId="390D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2323" w:type="dxa"/>
            <w:noWrap w:val="0"/>
            <w:vAlign w:val="center"/>
          </w:tcPr>
          <w:p w14:paraId="436C2764">
            <w:pPr>
              <w:spacing w:line="440" w:lineRule="exact"/>
              <w:jc w:val="center"/>
              <w:rPr>
                <w:rFonts w:ascii="仿宋_GB2312" w:eastAsia="仿宋_GB2312"/>
                <w:sz w:val="32"/>
                <w:szCs w:val="32"/>
              </w:rPr>
            </w:pPr>
            <w:r>
              <w:rPr>
                <w:rFonts w:hint="eastAsia" w:ascii="仿宋_GB2312" w:eastAsia="仿宋_GB2312"/>
                <w:sz w:val="32"/>
                <w:szCs w:val="32"/>
              </w:rPr>
              <w:t>联系人姓名</w:t>
            </w:r>
          </w:p>
        </w:tc>
        <w:tc>
          <w:tcPr>
            <w:tcW w:w="2068" w:type="dxa"/>
            <w:noWrap w:val="0"/>
            <w:vAlign w:val="center"/>
          </w:tcPr>
          <w:p w14:paraId="4ED2F9D0">
            <w:pPr>
              <w:spacing w:line="440" w:lineRule="exact"/>
              <w:jc w:val="center"/>
              <w:rPr>
                <w:rFonts w:ascii="仿宋_GB2312" w:eastAsia="仿宋_GB2312"/>
                <w:sz w:val="32"/>
                <w:szCs w:val="32"/>
              </w:rPr>
            </w:pPr>
          </w:p>
        </w:tc>
        <w:tc>
          <w:tcPr>
            <w:tcW w:w="2536" w:type="dxa"/>
            <w:noWrap w:val="0"/>
            <w:vAlign w:val="center"/>
          </w:tcPr>
          <w:p w14:paraId="229DEBBE">
            <w:pPr>
              <w:spacing w:line="440" w:lineRule="exact"/>
              <w:jc w:val="center"/>
              <w:rPr>
                <w:rFonts w:ascii="仿宋_GB2312" w:eastAsia="仿宋_GB2312"/>
                <w:sz w:val="32"/>
                <w:szCs w:val="32"/>
              </w:rPr>
            </w:pPr>
            <w:r>
              <w:rPr>
                <w:rFonts w:hint="eastAsia" w:ascii="仿宋_GB2312" w:eastAsia="仿宋_GB2312"/>
                <w:sz w:val="32"/>
                <w:szCs w:val="32"/>
              </w:rPr>
              <w:t>联系人职务</w:t>
            </w:r>
          </w:p>
        </w:tc>
        <w:tc>
          <w:tcPr>
            <w:tcW w:w="1871" w:type="dxa"/>
            <w:noWrap w:val="0"/>
            <w:vAlign w:val="center"/>
          </w:tcPr>
          <w:p w14:paraId="522CF1AE">
            <w:pPr>
              <w:spacing w:line="440" w:lineRule="exact"/>
              <w:jc w:val="center"/>
              <w:rPr>
                <w:rFonts w:ascii="仿宋_GB2312" w:eastAsia="仿宋_GB2312"/>
                <w:sz w:val="32"/>
                <w:szCs w:val="32"/>
              </w:rPr>
            </w:pPr>
          </w:p>
        </w:tc>
      </w:tr>
      <w:tr w14:paraId="59E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jc w:val="center"/>
        </w:trPr>
        <w:tc>
          <w:tcPr>
            <w:tcW w:w="2323" w:type="dxa"/>
            <w:noWrap w:val="0"/>
            <w:vAlign w:val="center"/>
          </w:tcPr>
          <w:p w14:paraId="63B77DA3">
            <w:pPr>
              <w:spacing w:line="440" w:lineRule="exact"/>
              <w:jc w:val="center"/>
              <w:rPr>
                <w:rFonts w:ascii="仿宋_GB2312" w:eastAsia="仿宋_GB2312"/>
                <w:sz w:val="32"/>
                <w:szCs w:val="32"/>
              </w:rPr>
            </w:pPr>
            <w:r>
              <w:rPr>
                <w:rFonts w:hint="eastAsia" w:ascii="仿宋_GB2312" w:eastAsia="仿宋_GB2312"/>
                <w:sz w:val="32"/>
                <w:szCs w:val="32"/>
              </w:rPr>
              <w:t>联系人手机</w:t>
            </w:r>
          </w:p>
        </w:tc>
        <w:tc>
          <w:tcPr>
            <w:tcW w:w="2068" w:type="dxa"/>
            <w:noWrap w:val="0"/>
            <w:vAlign w:val="center"/>
          </w:tcPr>
          <w:p w14:paraId="28CF217D">
            <w:pPr>
              <w:spacing w:line="440" w:lineRule="exact"/>
              <w:jc w:val="center"/>
              <w:rPr>
                <w:rFonts w:ascii="仿宋_GB2312" w:eastAsia="仿宋_GB2312"/>
                <w:sz w:val="32"/>
                <w:szCs w:val="32"/>
              </w:rPr>
            </w:pPr>
          </w:p>
        </w:tc>
        <w:tc>
          <w:tcPr>
            <w:tcW w:w="2536" w:type="dxa"/>
            <w:noWrap w:val="0"/>
            <w:vAlign w:val="center"/>
          </w:tcPr>
          <w:p w14:paraId="63F5F167">
            <w:pPr>
              <w:spacing w:line="440" w:lineRule="exact"/>
              <w:jc w:val="center"/>
              <w:rPr>
                <w:rFonts w:ascii="仿宋_GB2312" w:eastAsia="仿宋_GB2312"/>
                <w:sz w:val="32"/>
                <w:szCs w:val="32"/>
              </w:rPr>
            </w:pPr>
            <w:r>
              <w:rPr>
                <w:rFonts w:hint="eastAsia" w:ascii="仿宋_GB2312" w:eastAsia="仿宋_GB2312"/>
                <w:sz w:val="32"/>
                <w:szCs w:val="32"/>
              </w:rPr>
              <w:t>机构主要负责人或法人姓名</w:t>
            </w:r>
          </w:p>
        </w:tc>
        <w:tc>
          <w:tcPr>
            <w:tcW w:w="1871" w:type="dxa"/>
            <w:noWrap w:val="0"/>
            <w:vAlign w:val="center"/>
          </w:tcPr>
          <w:p w14:paraId="6D55FBE3">
            <w:pPr>
              <w:spacing w:line="440" w:lineRule="exact"/>
              <w:jc w:val="center"/>
              <w:rPr>
                <w:rFonts w:ascii="仿宋_GB2312" w:eastAsia="仿宋_GB2312"/>
                <w:sz w:val="32"/>
                <w:szCs w:val="32"/>
              </w:rPr>
            </w:pPr>
          </w:p>
        </w:tc>
      </w:tr>
      <w:tr w14:paraId="25BE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2323" w:type="dxa"/>
            <w:noWrap w:val="0"/>
            <w:vAlign w:val="center"/>
          </w:tcPr>
          <w:p w14:paraId="4D11992C">
            <w:pPr>
              <w:spacing w:line="440" w:lineRule="exact"/>
              <w:jc w:val="center"/>
              <w:rPr>
                <w:rFonts w:ascii="仿宋_GB2312" w:eastAsia="仿宋_GB2312"/>
                <w:sz w:val="32"/>
                <w:szCs w:val="32"/>
              </w:rPr>
            </w:pPr>
            <w:r>
              <w:rPr>
                <w:rFonts w:hint="eastAsia" w:ascii="仿宋_GB2312" w:eastAsia="仿宋_GB2312"/>
                <w:sz w:val="32"/>
                <w:szCs w:val="32"/>
              </w:rPr>
              <w:t>通信地址及邮编</w:t>
            </w:r>
          </w:p>
        </w:tc>
        <w:tc>
          <w:tcPr>
            <w:tcW w:w="6475" w:type="dxa"/>
            <w:gridSpan w:val="3"/>
            <w:noWrap w:val="0"/>
            <w:vAlign w:val="center"/>
          </w:tcPr>
          <w:p w14:paraId="67652375">
            <w:pPr>
              <w:spacing w:line="440" w:lineRule="exact"/>
              <w:jc w:val="center"/>
              <w:rPr>
                <w:rFonts w:ascii="仿宋_GB2312" w:eastAsia="仿宋_GB2312"/>
                <w:sz w:val="32"/>
                <w:szCs w:val="32"/>
              </w:rPr>
            </w:pPr>
          </w:p>
        </w:tc>
      </w:tr>
      <w:tr w14:paraId="0C71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2323" w:type="dxa"/>
            <w:noWrap w:val="0"/>
            <w:vAlign w:val="center"/>
          </w:tcPr>
          <w:p w14:paraId="0FF08C77">
            <w:pPr>
              <w:spacing w:line="440" w:lineRule="exact"/>
              <w:jc w:val="center"/>
              <w:rPr>
                <w:rFonts w:ascii="仿宋_GB2312" w:eastAsia="仿宋_GB2312"/>
                <w:sz w:val="32"/>
                <w:szCs w:val="32"/>
              </w:rPr>
            </w:pPr>
            <w:r>
              <w:rPr>
                <w:rFonts w:hint="eastAsia" w:ascii="仿宋_GB2312" w:eastAsia="仿宋_GB2312"/>
                <w:sz w:val="32"/>
                <w:szCs w:val="32"/>
              </w:rPr>
              <w:t>主要工作成果</w:t>
            </w:r>
          </w:p>
        </w:tc>
        <w:tc>
          <w:tcPr>
            <w:tcW w:w="6475" w:type="dxa"/>
            <w:gridSpan w:val="3"/>
            <w:noWrap w:val="0"/>
            <w:vAlign w:val="center"/>
          </w:tcPr>
          <w:p w14:paraId="4F8833F4">
            <w:pPr>
              <w:spacing w:line="440" w:lineRule="exact"/>
              <w:jc w:val="center"/>
              <w:rPr>
                <w:rFonts w:ascii="仿宋_GB2312" w:eastAsia="仿宋_GB2312"/>
                <w:sz w:val="32"/>
                <w:szCs w:val="32"/>
              </w:rPr>
            </w:pPr>
          </w:p>
        </w:tc>
      </w:tr>
      <w:tr w14:paraId="2EC1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323" w:type="dxa"/>
            <w:noWrap w:val="0"/>
            <w:vAlign w:val="center"/>
          </w:tcPr>
          <w:p w14:paraId="3226086F">
            <w:pPr>
              <w:spacing w:line="440" w:lineRule="exact"/>
              <w:jc w:val="center"/>
              <w:rPr>
                <w:rFonts w:ascii="仿宋_GB2312" w:eastAsia="仿宋_GB2312"/>
                <w:sz w:val="32"/>
                <w:szCs w:val="32"/>
              </w:rPr>
            </w:pPr>
            <w:r>
              <w:rPr>
                <w:rFonts w:hint="eastAsia" w:ascii="仿宋_GB2312" w:eastAsia="仿宋_GB2312"/>
                <w:sz w:val="32"/>
                <w:szCs w:val="32"/>
              </w:rPr>
              <w:t>市级广电行政</w:t>
            </w:r>
          </w:p>
          <w:p w14:paraId="20EBD13F">
            <w:pPr>
              <w:spacing w:line="440" w:lineRule="exact"/>
              <w:jc w:val="center"/>
              <w:rPr>
                <w:rFonts w:ascii="仿宋_GB2312" w:eastAsia="仿宋_GB2312"/>
                <w:sz w:val="32"/>
                <w:szCs w:val="32"/>
              </w:rPr>
            </w:pPr>
            <w:r>
              <w:rPr>
                <w:rFonts w:hint="eastAsia" w:ascii="仿宋_GB2312" w:eastAsia="仿宋_GB2312"/>
                <w:sz w:val="32"/>
                <w:szCs w:val="32"/>
              </w:rPr>
              <w:t>部门意见</w:t>
            </w:r>
          </w:p>
        </w:tc>
        <w:tc>
          <w:tcPr>
            <w:tcW w:w="6475" w:type="dxa"/>
            <w:gridSpan w:val="3"/>
            <w:noWrap w:val="0"/>
            <w:vAlign w:val="center"/>
          </w:tcPr>
          <w:p w14:paraId="3FB5C653">
            <w:pPr>
              <w:spacing w:line="440" w:lineRule="exact"/>
              <w:jc w:val="center"/>
              <w:rPr>
                <w:rFonts w:ascii="仿宋_GB2312" w:eastAsia="仿宋_GB2312"/>
                <w:sz w:val="32"/>
                <w:szCs w:val="32"/>
              </w:rPr>
            </w:pPr>
            <w:r>
              <w:rPr>
                <w:rFonts w:hint="eastAsia" w:ascii="仿宋_GB2312" w:eastAsia="仿宋_GB2312"/>
                <w:sz w:val="32"/>
                <w:szCs w:val="32"/>
              </w:rPr>
              <w:t xml:space="preserve">            </w:t>
            </w:r>
          </w:p>
          <w:p w14:paraId="592A3FD4">
            <w:pPr>
              <w:spacing w:line="440" w:lineRule="exact"/>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盖章</w:t>
            </w:r>
          </w:p>
          <w:p w14:paraId="60C339F3">
            <w:pPr>
              <w:spacing w:line="440" w:lineRule="exact"/>
              <w:jc w:val="center"/>
              <w:rPr>
                <w:rFonts w:ascii="仿宋_GB2312" w:eastAsia="仿宋_GB2312"/>
                <w:sz w:val="32"/>
                <w:szCs w:val="32"/>
              </w:rPr>
            </w:pPr>
            <w:r>
              <w:rPr>
                <w:rFonts w:hint="eastAsia" w:ascii="仿宋_GB2312" w:eastAsia="仿宋_GB2312"/>
                <w:sz w:val="32"/>
                <w:szCs w:val="32"/>
              </w:rPr>
              <w:t xml:space="preserve">                    年 </w:t>
            </w:r>
            <w:r>
              <w:rPr>
                <w:rFonts w:ascii="仿宋_GB2312" w:eastAsia="仿宋_GB2312"/>
                <w:sz w:val="32"/>
                <w:szCs w:val="32"/>
              </w:rPr>
              <w:t xml:space="preserve"> 月</w:t>
            </w:r>
            <w:r>
              <w:rPr>
                <w:rFonts w:hint="eastAsia" w:ascii="仿宋_GB2312" w:eastAsia="仿宋_GB2312"/>
                <w:sz w:val="32"/>
                <w:szCs w:val="32"/>
              </w:rPr>
              <w:t xml:space="preserve">  </w:t>
            </w:r>
            <w:r>
              <w:rPr>
                <w:rFonts w:ascii="仿宋_GB2312" w:eastAsia="仿宋_GB2312"/>
                <w:sz w:val="32"/>
                <w:szCs w:val="32"/>
              </w:rPr>
              <w:t>日</w:t>
            </w:r>
          </w:p>
        </w:tc>
      </w:tr>
      <w:tr w14:paraId="586B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323" w:type="dxa"/>
            <w:noWrap w:val="0"/>
            <w:vAlign w:val="center"/>
          </w:tcPr>
          <w:p w14:paraId="69073CD1">
            <w:pPr>
              <w:spacing w:line="440" w:lineRule="exact"/>
              <w:jc w:val="center"/>
              <w:rPr>
                <w:rFonts w:ascii="仿宋_GB2312" w:eastAsia="仿宋_GB2312"/>
                <w:sz w:val="32"/>
                <w:szCs w:val="32"/>
              </w:rPr>
            </w:pPr>
            <w:r>
              <w:rPr>
                <w:rFonts w:hint="eastAsia" w:ascii="仿宋_GB2312" w:eastAsia="仿宋_GB2312"/>
                <w:sz w:val="32"/>
                <w:szCs w:val="32"/>
              </w:rPr>
              <w:t>省级广电行政</w:t>
            </w:r>
          </w:p>
          <w:p w14:paraId="1C6663F0">
            <w:pPr>
              <w:spacing w:line="440" w:lineRule="exact"/>
              <w:jc w:val="center"/>
              <w:rPr>
                <w:rFonts w:ascii="仿宋_GB2312" w:eastAsia="仿宋_GB2312"/>
                <w:sz w:val="32"/>
                <w:szCs w:val="32"/>
              </w:rPr>
            </w:pPr>
            <w:r>
              <w:rPr>
                <w:rFonts w:hint="eastAsia" w:ascii="仿宋_GB2312" w:eastAsia="仿宋_GB2312"/>
                <w:sz w:val="32"/>
                <w:szCs w:val="32"/>
              </w:rPr>
              <w:t>部门意见</w:t>
            </w:r>
          </w:p>
        </w:tc>
        <w:tc>
          <w:tcPr>
            <w:tcW w:w="6475" w:type="dxa"/>
            <w:gridSpan w:val="3"/>
            <w:noWrap w:val="0"/>
            <w:vAlign w:val="center"/>
          </w:tcPr>
          <w:p w14:paraId="3E61FF64">
            <w:pPr>
              <w:spacing w:line="440" w:lineRule="exact"/>
              <w:jc w:val="center"/>
              <w:rPr>
                <w:rFonts w:ascii="仿宋_GB2312" w:eastAsia="仿宋_GB2312"/>
                <w:sz w:val="32"/>
                <w:szCs w:val="32"/>
              </w:rPr>
            </w:pPr>
            <w:r>
              <w:rPr>
                <w:rFonts w:hint="eastAsia" w:ascii="仿宋_GB2312" w:eastAsia="仿宋_GB2312"/>
                <w:sz w:val="32"/>
                <w:szCs w:val="32"/>
              </w:rPr>
              <w:t xml:space="preserve">                    盖章</w:t>
            </w:r>
          </w:p>
          <w:p w14:paraId="642DE5F9">
            <w:pPr>
              <w:spacing w:line="440" w:lineRule="exact"/>
              <w:jc w:val="center"/>
              <w:rPr>
                <w:rFonts w:ascii="仿宋_GB2312" w:eastAsia="仿宋_GB2312"/>
                <w:sz w:val="32"/>
                <w:szCs w:val="32"/>
              </w:rPr>
            </w:pPr>
            <w:r>
              <w:rPr>
                <w:rFonts w:hint="eastAsia" w:ascii="仿宋_GB2312" w:eastAsia="仿宋_GB2312"/>
                <w:sz w:val="32"/>
                <w:szCs w:val="32"/>
              </w:rPr>
              <w:t xml:space="preserve">                    年 </w:t>
            </w:r>
            <w:r>
              <w:rPr>
                <w:rFonts w:ascii="仿宋_GB2312" w:eastAsia="仿宋_GB2312"/>
                <w:sz w:val="32"/>
                <w:szCs w:val="32"/>
              </w:rPr>
              <w:t xml:space="preserve"> 月</w:t>
            </w:r>
            <w:r>
              <w:rPr>
                <w:rFonts w:hint="eastAsia" w:ascii="仿宋_GB2312" w:eastAsia="仿宋_GB2312"/>
                <w:sz w:val="32"/>
                <w:szCs w:val="32"/>
              </w:rPr>
              <w:t xml:space="preserve">  </w:t>
            </w:r>
            <w:r>
              <w:rPr>
                <w:rFonts w:ascii="仿宋_GB2312" w:eastAsia="仿宋_GB2312"/>
                <w:sz w:val="32"/>
                <w:szCs w:val="32"/>
              </w:rPr>
              <w:t>日</w:t>
            </w:r>
          </w:p>
        </w:tc>
      </w:tr>
      <w:tr w14:paraId="3DC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3" w:type="dxa"/>
            <w:noWrap w:val="0"/>
            <w:vAlign w:val="center"/>
          </w:tcPr>
          <w:p w14:paraId="1A535375">
            <w:pPr>
              <w:spacing w:line="440" w:lineRule="exact"/>
              <w:jc w:val="center"/>
              <w:rPr>
                <w:rFonts w:ascii="仿宋_GB2312" w:eastAsia="仿宋_GB2312"/>
                <w:sz w:val="32"/>
                <w:szCs w:val="32"/>
              </w:rPr>
            </w:pPr>
            <w:r>
              <w:rPr>
                <w:rFonts w:hint="eastAsia" w:ascii="仿宋_GB2312" w:eastAsia="仿宋_GB2312"/>
                <w:sz w:val="32"/>
                <w:szCs w:val="32"/>
              </w:rPr>
              <w:t>备注</w:t>
            </w:r>
          </w:p>
        </w:tc>
        <w:tc>
          <w:tcPr>
            <w:tcW w:w="6475" w:type="dxa"/>
            <w:gridSpan w:val="3"/>
            <w:noWrap w:val="0"/>
            <w:vAlign w:val="center"/>
          </w:tcPr>
          <w:p w14:paraId="33F33462">
            <w:pPr>
              <w:spacing w:line="440" w:lineRule="exact"/>
              <w:jc w:val="center"/>
              <w:rPr>
                <w:rFonts w:ascii="仿宋_GB2312" w:eastAsia="仿宋_GB2312"/>
                <w:sz w:val="32"/>
                <w:szCs w:val="32"/>
              </w:rPr>
            </w:pPr>
          </w:p>
        </w:tc>
      </w:tr>
    </w:tbl>
    <w:p w14:paraId="6207A1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494C265D"/>
    <w:rsid w:val="494C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2024-11-07T08:53:00Z</dcterms:created>
  <dc:creator>MT</dc:creator>
  <cp:lastModifiedBy>MT</cp:lastModifiedBy>
  <dcterms:modified xsi:type="dcterms:W3CDTF">2024-11-07T08:55:43Z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F41ABB39E84F49C18CEDEFE030C6F883_11</vt:lpwstr>
  </property>
</Properties>
</file>