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1-2</w:t>
      </w:r>
    </w:p>
    <w:p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202</w:t>
      </w:r>
      <w:r>
        <w:rPr>
          <w:rFonts w:ascii="方正小标宋简体" w:hAnsi="楷体" w:eastAsia="方正小标宋简体" w:cs="Times New Roman"/>
          <w:sz w:val="44"/>
          <w:szCs w:val="44"/>
        </w:rPr>
        <w:t>5</w:t>
      </w:r>
      <w:r>
        <w:rPr>
          <w:rFonts w:hint="eastAsia" w:ascii="方正小标宋简体" w:hAnsi="楷体" w:eastAsia="方正小标宋简体" w:cs="Times New Roman"/>
          <w:sz w:val="44"/>
          <w:szCs w:val="44"/>
        </w:rPr>
        <w:t>年广西广播电视和网络视听</w:t>
      </w:r>
    </w:p>
    <w:p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百名人才自动入选名单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（共</w:t>
      </w:r>
      <w:r>
        <w:rPr>
          <w:rFonts w:ascii="仿宋_GB2312" w:hAnsi="黑体" w:eastAsia="仿宋_GB2312" w:cs="Times New Roman"/>
          <w:sz w:val="32"/>
          <w:szCs w:val="32"/>
        </w:rPr>
        <w:t>2</w:t>
      </w:r>
      <w:r>
        <w:rPr>
          <w:rFonts w:hint="eastAsia" w:ascii="仿宋_GB2312" w:hAnsi="黑体" w:eastAsia="仿宋_GB2312" w:cs="Times New Roman"/>
          <w:sz w:val="32"/>
          <w:szCs w:val="32"/>
        </w:rPr>
        <w:t>人）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新闻宣传</w:t>
      </w:r>
      <w:r>
        <w:rPr>
          <w:rFonts w:ascii="黑体" w:hAnsi="黑体" w:eastAsia="黑体"/>
          <w:sz w:val="32"/>
          <w:szCs w:val="32"/>
        </w:rPr>
        <w:t>人才2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谢玉凤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南宁市融媒体中心精品创作部副主任，</w:t>
      </w:r>
    </w:p>
    <w:p>
      <w:pPr>
        <w:tabs>
          <w:tab w:val="left" w:pos="2100"/>
        </w:tabs>
        <w:spacing w:line="560" w:lineRule="exact"/>
        <w:ind w:firstLine="2080" w:firstLine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主任记者</w:t>
      </w:r>
    </w:p>
    <w:p>
      <w:pPr>
        <w:tabs>
          <w:tab w:val="left" w:pos="2100"/>
        </w:tabs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李  斌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柳州市融媒体中心总编辑，高级记者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24606"/>
    <w:multiLevelType w:val="multilevel"/>
    <w:tmpl w:val="20824606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1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F9CCF"/>
    <w:rsid w:val="3EAB0813"/>
    <w:rsid w:val="3FDF79D4"/>
    <w:rsid w:val="7DFFBBEF"/>
    <w:rsid w:val="C3FA4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gxxc</cp:lastModifiedBy>
  <dcterms:modified xsi:type="dcterms:W3CDTF">2025-09-18T15:48:05Z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