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090E7">
      <w:pPr>
        <w:autoSpaceDE/>
        <w:autoSpaceDN/>
        <w:jc w:val="center"/>
        <w:rPr>
          <w:rFonts w:hint="eastAsia" w:ascii="方正小标宋简体" w:hAnsi="Times New Roman" w:eastAsia="方正小标宋简体" w:cs="ArialUnicodeMS"/>
          <w:kern w:val="0"/>
          <w:sz w:val="52"/>
          <w:szCs w:val="52"/>
          <w:lang w:val="en-US" w:bidi="ar-SA"/>
        </w:rPr>
      </w:pPr>
    </w:p>
    <w:p w14:paraId="7C3B8E83">
      <w:pPr>
        <w:autoSpaceDE/>
        <w:autoSpaceDN/>
        <w:jc w:val="center"/>
        <w:rPr>
          <w:rFonts w:hint="eastAsia" w:ascii="方正小标宋简体" w:hAnsi="Times New Roman" w:eastAsia="方正小标宋简体" w:cs="ArialUnicodeMS"/>
          <w:kern w:val="0"/>
          <w:sz w:val="52"/>
          <w:szCs w:val="52"/>
          <w:lang w:val="en-US" w:bidi="ar-SA"/>
        </w:rPr>
      </w:pPr>
    </w:p>
    <w:p w14:paraId="6B1FF7A3">
      <w:pPr>
        <w:autoSpaceDE/>
        <w:autoSpaceDN/>
        <w:jc w:val="center"/>
        <w:rPr>
          <w:rFonts w:hint="eastAsia" w:ascii="方正小标宋简体" w:hAnsi="Times New Roman" w:eastAsia="方正小标宋简体" w:cs="ArialUnicodeMS"/>
          <w:kern w:val="0"/>
          <w:sz w:val="52"/>
          <w:szCs w:val="52"/>
          <w:lang w:val="en-US" w:bidi="ar-SA"/>
        </w:rPr>
      </w:pPr>
    </w:p>
    <w:p w14:paraId="383B3E0D">
      <w:pPr>
        <w:autoSpaceDE/>
        <w:autoSpaceDN/>
        <w:jc w:val="center"/>
        <w:rPr>
          <w:rFonts w:hint="eastAsia" w:ascii="方正小标宋简体" w:hAnsi="Times New Roman" w:eastAsia="方正小标宋简体" w:cs="ArialUnicodeMS"/>
          <w:kern w:val="0"/>
          <w:sz w:val="52"/>
          <w:szCs w:val="52"/>
          <w:lang w:val="en-US" w:bidi="ar-SA"/>
        </w:rPr>
      </w:pPr>
    </w:p>
    <w:p w14:paraId="61632FE4">
      <w:pPr>
        <w:autoSpaceDE/>
        <w:autoSpaceDN/>
        <w:jc w:val="center"/>
        <w:rPr>
          <w:rFonts w:hint="eastAsia" w:ascii="方正小标宋简体" w:hAnsi="Times New Roman" w:eastAsia="方正小标宋简体" w:cs="ArialUnicodeMS"/>
          <w:kern w:val="0"/>
          <w:sz w:val="52"/>
          <w:szCs w:val="52"/>
          <w:lang w:val="en-US" w:bidi="ar-SA"/>
        </w:rPr>
      </w:pPr>
    </w:p>
    <w:p w14:paraId="7232ECBF">
      <w:pPr>
        <w:autoSpaceDE/>
        <w:autoSpaceDN/>
        <w:jc w:val="center"/>
        <w:rPr>
          <w:rFonts w:hint="eastAsia" w:ascii="方正小标宋简体" w:hAnsi="Times New Roman" w:eastAsia="方正小标宋简体" w:cs="ArialUnicodeMS"/>
          <w:spacing w:val="170"/>
          <w:kern w:val="0"/>
          <w:sz w:val="52"/>
          <w:szCs w:val="52"/>
          <w:lang w:val="en-US" w:bidi="ar-SA"/>
        </w:rPr>
      </w:pPr>
      <w:r>
        <w:rPr>
          <w:rFonts w:hint="eastAsia" w:ascii="方正小标宋简体" w:hAnsi="Times New Roman" w:eastAsia="方正小标宋简体" w:cs="ArialUnicodeMS"/>
          <w:spacing w:val="170"/>
          <w:kern w:val="0"/>
          <w:sz w:val="52"/>
          <w:szCs w:val="52"/>
          <w:lang w:val="en-US" w:bidi="ar-SA"/>
        </w:rPr>
        <w:t>广西新闻</w:t>
      </w:r>
      <w:r>
        <w:rPr>
          <w:rFonts w:hint="eastAsia" w:ascii="方正小标宋简体" w:hAnsi="Times New Roman" w:eastAsia="方正小标宋简体" w:cs="ArialUnicodeMS"/>
          <w:spacing w:val="170"/>
          <w:kern w:val="0"/>
          <w:sz w:val="52"/>
          <w:szCs w:val="52"/>
          <w:lang w:val="en-US" w:eastAsia="zh-CN" w:bidi="ar-SA"/>
        </w:rPr>
        <w:t>出版高级</w:t>
      </w:r>
      <w:r>
        <w:rPr>
          <w:rFonts w:hint="eastAsia" w:ascii="方正小标宋简体" w:hAnsi="Times New Roman" w:eastAsia="方正小标宋简体" w:cs="ArialUnicodeMS"/>
          <w:spacing w:val="170"/>
          <w:kern w:val="0"/>
          <w:sz w:val="52"/>
          <w:szCs w:val="52"/>
          <w:lang w:val="en-US" w:bidi="ar-SA"/>
        </w:rPr>
        <w:t>技工学校</w:t>
      </w:r>
    </w:p>
    <w:p w14:paraId="4C24491B">
      <w:pPr>
        <w:autoSpaceDE/>
        <w:autoSpaceDN/>
        <w:jc w:val="center"/>
        <w:rPr>
          <w:rFonts w:hint="eastAsia" w:ascii="方正小标宋简体" w:hAnsi="Times New Roman" w:eastAsia="方正小标宋简体" w:cs="ArialUnicodeMS"/>
          <w:spacing w:val="170"/>
          <w:kern w:val="0"/>
          <w:sz w:val="52"/>
          <w:szCs w:val="52"/>
          <w:lang w:val="en-US" w:bidi="ar-SA"/>
        </w:rPr>
      </w:pPr>
    </w:p>
    <w:p w14:paraId="5FA4DE82">
      <w:pPr>
        <w:autoSpaceDE/>
        <w:autoSpaceDN/>
        <w:jc w:val="center"/>
        <w:rPr>
          <w:rFonts w:hint="eastAsia" w:ascii="方正小标宋简体" w:hAnsi="Times New Roman" w:eastAsia="方正小标宋简体" w:cs="ArialUnicodeMS"/>
          <w:spacing w:val="170"/>
          <w:kern w:val="0"/>
          <w:sz w:val="52"/>
          <w:szCs w:val="52"/>
          <w:lang w:val="en-US" w:bidi="ar-SA"/>
        </w:rPr>
      </w:pPr>
      <w:r>
        <w:rPr>
          <w:rFonts w:hint="eastAsia" w:ascii="方正小标宋简体" w:hAnsi="Times New Roman" w:eastAsia="方正小标宋简体" w:cs="ArialUnicodeMS"/>
          <w:spacing w:val="170"/>
          <w:kern w:val="0"/>
          <w:sz w:val="52"/>
          <w:szCs w:val="52"/>
          <w:lang w:val="en-US" w:bidi="ar-SA"/>
        </w:rPr>
        <w:t>202</w:t>
      </w:r>
      <w:r>
        <w:rPr>
          <w:rFonts w:hint="eastAsia" w:ascii="方正小标宋简体" w:hAnsi="Times New Roman" w:eastAsia="方正小标宋简体" w:cs="ArialUnicodeMS"/>
          <w:spacing w:val="170"/>
          <w:kern w:val="0"/>
          <w:sz w:val="52"/>
          <w:szCs w:val="52"/>
          <w:lang w:val="en-US" w:eastAsia="zh-CN" w:bidi="ar-SA"/>
        </w:rPr>
        <w:t>4</w:t>
      </w:r>
      <w:r>
        <w:rPr>
          <w:rFonts w:hint="eastAsia" w:ascii="方正小标宋简体" w:hAnsi="Times New Roman" w:eastAsia="方正小标宋简体" w:cs="ArialUnicodeMS"/>
          <w:spacing w:val="170"/>
          <w:kern w:val="0"/>
          <w:sz w:val="52"/>
          <w:szCs w:val="52"/>
          <w:lang w:val="en-US" w:bidi="ar-SA"/>
        </w:rPr>
        <w:t>年度部门决算</w:t>
      </w:r>
    </w:p>
    <w:p w14:paraId="1EE37F58">
      <w:pPr>
        <w:tabs>
          <w:tab w:val="left" w:pos="1810"/>
        </w:tabs>
        <w:spacing w:line="691" w:lineRule="exact"/>
        <w:ind w:left="485"/>
        <w:jc w:val="center"/>
        <w:rPr>
          <w:rFonts w:ascii="Microsoft JhengHei" w:eastAsia="Microsoft JhengHei"/>
          <w:b/>
          <w:sz w:val="44"/>
        </w:rPr>
      </w:pPr>
    </w:p>
    <w:p w14:paraId="6B48AB04">
      <w:pPr>
        <w:pStyle w:val="3"/>
        <w:rPr>
          <w:rFonts w:ascii="Microsoft JhengHei" w:eastAsia="Microsoft JhengHei"/>
          <w:b/>
          <w:sz w:val="44"/>
        </w:rPr>
      </w:pPr>
    </w:p>
    <w:p w14:paraId="0D7B8CEB">
      <w:pPr>
        <w:pStyle w:val="3"/>
        <w:rPr>
          <w:rFonts w:ascii="Microsoft JhengHei" w:eastAsia="Microsoft JhengHei"/>
          <w:b/>
          <w:sz w:val="44"/>
        </w:rPr>
      </w:pPr>
    </w:p>
    <w:p w14:paraId="4A2F493B">
      <w:pPr>
        <w:pStyle w:val="3"/>
        <w:rPr>
          <w:rFonts w:ascii="Microsoft JhengHei" w:eastAsia="Microsoft JhengHei"/>
          <w:b/>
          <w:sz w:val="44"/>
        </w:rPr>
      </w:pPr>
    </w:p>
    <w:p w14:paraId="4457BA20">
      <w:pPr>
        <w:pStyle w:val="3"/>
        <w:rPr>
          <w:rFonts w:ascii="Microsoft JhengHei" w:eastAsia="Microsoft JhengHei"/>
          <w:b/>
          <w:sz w:val="44"/>
        </w:rPr>
      </w:pPr>
    </w:p>
    <w:p w14:paraId="7AD82F28">
      <w:pPr>
        <w:pStyle w:val="3"/>
        <w:rPr>
          <w:rFonts w:ascii="Microsoft JhengHei" w:eastAsia="Microsoft JhengHei"/>
          <w:b/>
          <w:sz w:val="44"/>
        </w:rPr>
      </w:pPr>
    </w:p>
    <w:p w14:paraId="21312B1A">
      <w:pPr>
        <w:pStyle w:val="3"/>
        <w:rPr>
          <w:rFonts w:ascii="Microsoft JhengHei" w:eastAsia="Microsoft JhengHei"/>
          <w:b/>
          <w:sz w:val="44"/>
        </w:rPr>
      </w:pPr>
    </w:p>
    <w:p w14:paraId="4BF2140B">
      <w:pPr>
        <w:pStyle w:val="3"/>
        <w:rPr>
          <w:rFonts w:ascii="Microsoft JhengHei" w:eastAsia="Microsoft JhengHei"/>
          <w:b/>
          <w:sz w:val="44"/>
        </w:rPr>
      </w:pPr>
    </w:p>
    <w:p w14:paraId="48D0A300">
      <w:pPr>
        <w:pStyle w:val="3"/>
        <w:rPr>
          <w:rFonts w:ascii="Microsoft JhengHei" w:eastAsia="Microsoft JhengHei"/>
          <w:b/>
          <w:sz w:val="44"/>
        </w:rPr>
      </w:pPr>
    </w:p>
    <w:p w14:paraId="5EE7CC62">
      <w:pPr>
        <w:pStyle w:val="3"/>
        <w:ind w:left="0" w:leftChars="0" w:firstLine="0" w:firstLineChars="0"/>
        <w:jc w:val="center"/>
        <w:rPr>
          <w:rFonts w:ascii="Microsoft JhengHei" w:eastAsia="Microsoft JhengHei"/>
          <w:b/>
          <w:sz w:val="44"/>
        </w:rPr>
      </w:pPr>
    </w:p>
    <w:p w14:paraId="2855EF4B">
      <w:pPr>
        <w:autoSpaceDE/>
        <w:autoSpaceDN/>
        <w:spacing w:line="560" w:lineRule="exact"/>
        <w:jc w:val="center"/>
        <w:rPr>
          <w:rFonts w:hint="eastAsia" w:ascii="方正小标宋简体" w:hAnsi="Times New Roman" w:eastAsia="方正小标宋简体" w:cs="Times New Roman"/>
          <w:b/>
          <w:kern w:val="2"/>
          <w:sz w:val="44"/>
          <w:szCs w:val="44"/>
          <w:lang w:val="en-US" w:bidi="ar-SA"/>
        </w:rPr>
      </w:pPr>
      <w:r>
        <w:rPr>
          <w:rFonts w:hint="eastAsia" w:ascii="方正小标宋简体" w:hAnsi="Times New Roman" w:eastAsia="方正小标宋简体" w:cs="Times New Roman"/>
          <w:b/>
          <w:kern w:val="2"/>
          <w:sz w:val="44"/>
          <w:szCs w:val="44"/>
          <w:lang w:val="en-US" w:bidi="ar-SA"/>
        </w:rPr>
        <w:t>目</w:t>
      </w:r>
      <w:r>
        <w:rPr>
          <w:rFonts w:hint="eastAsia" w:ascii="方正小标宋简体" w:hAnsi="Times New Roman" w:eastAsia="方正小标宋简体" w:cs="Times New Roman"/>
          <w:b/>
          <w:kern w:val="2"/>
          <w:sz w:val="44"/>
          <w:szCs w:val="44"/>
          <w:lang w:val="en-US" w:bidi="ar-SA"/>
        </w:rPr>
        <w:tab/>
      </w:r>
      <w:r>
        <w:rPr>
          <w:rFonts w:hint="eastAsia" w:ascii="方正小标宋简体" w:hAnsi="Times New Roman" w:eastAsia="方正小标宋简体" w:cs="Times New Roman"/>
          <w:b/>
          <w:kern w:val="2"/>
          <w:sz w:val="44"/>
          <w:szCs w:val="44"/>
          <w:lang w:val="en-US" w:bidi="ar-SA"/>
        </w:rPr>
        <w:t>录</w:t>
      </w:r>
    </w:p>
    <w:p w14:paraId="3A9AFBA6">
      <w:pPr>
        <w:pStyle w:val="4"/>
        <w:spacing w:before="11"/>
        <w:ind w:left="0"/>
        <w:rPr>
          <w:rFonts w:ascii="Microsoft JhengHei"/>
          <w:b/>
          <w:sz w:val="45"/>
        </w:rPr>
      </w:pPr>
    </w:p>
    <w:p w14:paraId="56666CDD">
      <w:pPr>
        <w:autoSpaceDE/>
        <w:autoSpaceDN/>
        <w:spacing w:line="560" w:lineRule="exact"/>
        <w:ind w:firstLine="645"/>
        <w:jc w:val="both"/>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第一部分：广西新闻出版</w:t>
      </w:r>
      <w:r>
        <w:rPr>
          <w:rFonts w:hint="eastAsia" w:ascii="黑体" w:hAnsi="黑体" w:eastAsia="黑体" w:cs="Times New Roman"/>
          <w:kern w:val="2"/>
          <w:sz w:val="32"/>
          <w:szCs w:val="32"/>
          <w:lang w:val="en-US" w:eastAsia="zh-CN" w:bidi="ar-SA"/>
        </w:rPr>
        <w:t>高级</w:t>
      </w:r>
      <w:r>
        <w:rPr>
          <w:rFonts w:hint="eastAsia" w:ascii="黑体" w:hAnsi="黑体" w:eastAsia="黑体" w:cs="Times New Roman"/>
          <w:kern w:val="2"/>
          <w:sz w:val="32"/>
          <w:szCs w:val="32"/>
          <w:lang w:val="en-US" w:bidi="ar-SA"/>
        </w:rPr>
        <w:t>技工学校概况</w:t>
      </w:r>
    </w:p>
    <w:p w14:paraId="02288F5C">
      <w:pPr>
        <w:autoSpaceDE/>
        <w:autoSpaceDN/>
        <w:spacing w:line="560" w:lineRule="exact"/>
        <w:ind w:firstLine="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一、</w:t>
      </w:r>
      <w:r>
        <w:rPr>
          <w:rFonts w:hint="eastAsia" w:ascii="仿宋_GB2312" w:hAnsi="Times New Roman" w:eastAsia="仿宋_GB2312" w:cs="Times New Roman"/>
          <w:kern w:val="2"/>
          <w:sz w:val="32"/>
          <w:szCs w:val="32"/>
          <w:lang w:val="en-US" w:eastAsia="zh-CN" w:bidi="ar-SA"/>
        </w:rPr>
        <w:t>本单位</w:t>
      </w:r>
      <w:r>
        <w:rPr>
          <w:rFonts w:hint="eastAsia" w:ascii="仿宋_GB2312" w:hAnsi="Times New Roman" w:eastAsia="仿宋_GB2312" w:cs="Times New Roman"/>
          <w:kern w:val="2"/>
          <w:sz w:val="32"/>
          <w:szCs w:val="32"/>
          <w:lang w:val="en-US" w:bidi="ar-SA"/>
        </w:rPr>
        <w:t>主要职能</w:t>
      </w:r>
    </w:p>
    <w:p w14:paraId="385EA1F6">
      <w:pPr>
        <w:autoSpaceDE/>
        <w:autoSpaceDN/>
        <w:spacing w:line="560" w:lineRule="exact"/>
        <w:ind w:firstLine="645"/>
        <w:jc w:val="both"/>
        <w:rPr>
          <w:rFonts w:hint="default" w:ascii="仿宋_GB2312" w:hAnsi="Times New Roman" w:eastAsia="仿宋_GB2312" w:cs="Times New Roman"/>
          <w:kern w:val="2"/>
          <w:lang w:val="en-US" w:eastAsia="zh-CN" w:bidi="ar-SA"/>
        </w:rPr>
      </w:pPr>
      <w:r>
        <w:rPr>
          <w:rFonts w:hint="eastAsia" w:ascii="仿宋_GB2312" w:hAnsi="Times New Roman" w:eastAsia="仿宋_GB2312" w:cs="Times New Roman"/>
          <w:kern w:val="2"/>
          <w:sz w:val="32"/>
          <w:szCs w:val="32"/>
          <w:lang w:val="en-US" w:bidi="ar-SA"/>
        </w:rPr>
        <w:t>二、</w:t>
      </w:r>
      <w:r>
        <w:rPr>
          <w:rFonts w:hint="eastAsia" w:ascii="仿宋_GB2312" w:hAnsi="Times New Roman" w:eastAsia="仿宋_GB2312" w:cs="Times New Roman"/>
          <w:kern w:val="2"/>
          <w:sz w:val="32"/>
          <w:szCs w:val="32"/>
          <w:lang w:val="en-US" w:eastAsia="zh-CN" w:bidi="ar-SA"/>
        </w:rPr>
        <w:t>机构设置情况</w:t>
      </w:r>
    </w:p>
    <w:p w14:paraId="52F5F28D">
      <w:pPr>
        <w:autoSpaceDE/>
        <w:autoSpaceDN/>
        <w:spacing w:line="560" w:lineRule="exact"/>
        <w:ind w:firstLine="645"/>
        <w:jc w:val="both"/>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第二部分：广西新闻出版</w:t>
      </w:r>
      <w:r>
        <w:rPr>
          <w:rFonts w:hint="eastAsia" w:ascii="黑体" w:hAnsi="黑体" w:eastAsia="黑体" w:cs="Times New Roman"/>
          <w:kern w:val="2"/>
          <w:sz w:val="32"/>
          <w:szCs w:val="32"/>
          <w:lang w:val="en-US" w:eastAsia="zh-CN" w:bidi="ar-SA"/>
        </w:rPr>
        <w:t>高级</w:t>
      </w:r>
      <w:r>
        <w:rPr>
          <w:rFonts w:hint="eastAsia" w:ascii="黑体" w:hAnsi="黑体" w:eastAsia="黑体" w:cs="Times New Roman"/>
          <w:kern w:val="2"/>
          <w:sz w:val="32"/>
          <w:szCs w:val="32"/>
          <w:lang w:val="en-US" w:bidi="ar-SA"/>
        </w:rPr>
        <w:t>技工学校202</w:t>
      </w:r>
      <w:r>
        <w:rPr>
          <w:rFonts w:hint="eastAsia" w:ascii="黑体" w:hAnsi="黑体" w:eastAsia="黑体" w:cs="Times New Roman"/>
          <w:kern w:val="2"/>
          <w:sz w:val="32"/>
          <w:szCs w:val="32"/>
          <w:lang w:val="en-US" w:eastAsia="zh-CN" w:bidi="ar-SA"/>
        </w:rPr>
        <w:t>4</w:t>
      </w:r>
      <w:r>
        <w:rPr>
          <w:rFonts w:hint="eastAsia" w:ascii="黑体" w:hAnsi="黑体" w:eastAsia="黑体" w:cs="Times New Roman"/>
          <w:kern w:val="2"/>
          <w:sz w:val="32"/>
          <w:szCs w:val="32"/>
          <w:lang w:val="en-US" w:bidi="ar-SA"/>
        </w:rPr>
        <w:t>年度决算报表</w:t>
      </w:r>
    </w:p>
    <w:p w14:paraId="1BE12047">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表一：收入支出决算总表</w:t>
      </w:r>
    </w:p>
    <w:p w14:paraId="780584AE">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表二：收入决算表</w:t>
      </w:r>
    </w:p>
    <w:p w14:paraId="0C2035C0">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表三：支出决算表</w:t>
      </w:r>
    </w:p>
    <w:p w14:paraId="536CC390">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表四：财政拨款收入支出决算总表</w:t>
      </w:r>
    </w:p>
    <w:p w14:paraId="038FF449">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表五：一般公共预算财政拨款支出决算表</w:t>
      </w:r>
    </w:p>
    <w:p w14:paraId="3B42642F">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表六：一般公共预算财政拨款基本支出决算表</w:t>
      </w:r>
    </w:p>
    <w:p w14:paraId="7AE3E566">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表七：政府性基金预算财政拨款收入支出决算表</w:t>
      </w:r>
    </w:p>
    <w:p w14:paraId="1790013B">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表八：国有资本经营预算财政拨款支出决算表</w:t>
      </w:r>
    </w:p>
    <w:p w14:paraId="152B1A97">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表九：财政拨款安排的“三公”经费支出决算表</w:t>
      </w:r>
    </w:p>
    <w:p w14:paraId="59E6C3FD">
      <w:pPr>
        <w:autoSpaceDE/>
        <w:autoSpaceDN/>
        <w:spacing w:line="560" w:lineRule="exact"/>
        <w:ind w:firstLine="645"/>
        <w:jc w:val="both"/>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第三部分：广西新闻出版</w:t>
      </w:r>
      <w:r>
        <w:rPr>
          <w:rFonts w:hint="eastAsia" w:ascii="黑体" w:hAnsi="黑体" w:eastAsia="黑体" w:cs="Times New Roman"/>
          <w:kern w:val="2"/>
          <w:sz w:val="32"/>
          <w:szCs w:val="32"/>
          <w:lang w:val="en-US" w:eastAsia="zh-CN" w:bidi="ar-SA"/>
        </w:rPr>
        <w:t>高级</w:t>
      </w:r>
      <w:r>
        <w:rPr>
          <w:rFonts w:hint="eastAsia" w:ascii="黑体" w:hAnsi="黑体" w:eastAsia="黑体" w:cs="Times New Roman"/>
          <w:kern w:val="2"/>
          <w:sz w:val="32"/>
          <w:szCs w:val="32"/>
          <w:lang w:val="en-US" w:bidi="ar-SA"/>
        </w:rPr>
        <w:t>技工学校202</w:t>
      </w:r>
      <w:r>
        <w:rPr>
          <w:rFonts w:hint="eastAsia" w:ascii="黑体" w:hAnsi="黑体" w:eastAsia="黑体" w:cs="Times New Roman"/>
          <w:kern w:val="2"/>
          <w:sz w:val="32"/>
          <w:szCs w:val="32"/>
          <w:lang w:val="en-US" w:eastAsia="zh-CN" w:bidi="ar-SA"/>
        </w:rPr>
        <w:t>4</w:t>
      </w:r>
      <w:r>
        <w:rPr>
          <w:rFonts w:hint="eastAsia" w:ascii="黑体" w:hAnsi="黑体" w:eastAsia="黑体" w:cs="Times New Roman"/>
          <w:kern w:val="2"/>
          <w:sz w:val="32"/>
          <w:szCs w:val="32"/>
          <w:lang w:val="en-US" w:bidi="ar-SA"/>
        </w:rPr>
        <w:t>年度部门决算情况说明</w:t>
      </w:r>
    </w:p>
    <w:p w14:paraId="6B6FA9C7">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一、202</w:t>
      </w:r>
      <w:r>
        <w:rPr>
          <w:rFonts w:hint="eastAsia" w:ascii="仿宋_GB2312" w:hAnsi="Times New Roman" w:eastAsia="仿宋_GB2312" w:cs="仿宋_GB2312"/>
          <w:kern w:val="0"/>
          <w:sz w:val="32"/>
          <w:szCs w:val="32"/>
          <w:lang w:val="en-US" w:eastAsia="zh-CN" w:bidi="ar-SA"/>
        </w:rPr>
        <w:t>4</w:t>
      </w:r>
      <w:r>
        <w:rPr>
          <w:rFonts w:hint="eastAsia" w:ascii="仿宋_GB2312" w:hAnsi="Times New Roman" w:eastAsia="仿宋_GB2312" w:cs="仿宋_GB2312"/>
          <w:kern w:val="0"/>
          <w:sz w:val="32"/>
          <w:szCs w:val="32"/>
          <w:lang w:val="en-US" w:bidi="ar-SA"/>
        </w:rPr>
        <w:t>年度收入支出决算总体情况</w:t>
      </w:r>
    </w:p>
    <w:p w14:paraId="6CF3A98B">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二、202</w:t>
      </w:r>
      <w:r>
        <w:rPr>
          <w:rFonts w:hint="eastAsia" w:ascii="仿宋_GB2312" w:hAnsi="Times New Roman" w:eastAsia="仿宋_GB2312" w:cs="仿宋_GB2312"/>
          <w:kern w:val="0"/>
          <w:sz w:val="32"/>
          <w:szCs w:val="32"/>
          <w:lang w:val="en-US" w:eastAsia="zh-CN" w:bidi="ar-SA"/>
        </w:rPr>
        <w:t>4</w:t>
      </w:r>
      <w:r>
        <w:rPr>
          <w:rFonts w:hint="eastAsia" w:ascii="仿宋_GB2312" w:hAnsi="Times New Roman" w:eastAsia="仿宋_GB2312" w:cs="仿宋_GB2312"/>
          <w:kern w:val="0"/>
          <w:sz w:val="32"/>
          <w:szCs w:val="32"/>
          <w:lang w:val="en-US" w:bidi="ar-SA"/>
        </w:rPr>
        <w:t>年度一般公共预算财政拨款支出决算情况</w:t>
      </w:r>
    </w:p>
    <w:p w14:paraId="6D5230CA">
      <w:pPr>
        <w:autoSpaceDE w:val="0"/>
        <w:autoSpaceDN w:val="0"/>
        <w:adjustRightInd w:val="0"/>
        <w:spacing w:line="560" w:lineRule="exact"/>
        <w:ind w:left="638" w:leftChars="290" w:firstLine="0" w:firstLineChars="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三、202</w:t>
      </w:r>
      <w:r>
        <w:rPr>
          <w:rFonts w:hint="eastAsia" w:ascii="仿宋_GB2312" w:hAnsi="Times New Roman" w:eastAsia="仿宋_GB2312" w:cs="仿宋_GB2312"/>
          <w:kern w:val="0"/>
          <w:sz w:val="32"/>
          <w:szCs w:val="32"/>
          <w:lang w:val="en-US" w:eastAsia="zh-CN" w:bidi="ar-SA"/>
        </w:rPr>
        <w:t>4</w:t>
      </w:r>
      <w:r>
        <w:rPr>
          <w:rFonts w:hint="eastAsia" w:ascii="仿宋_GB2312" w:hAnsi="Times New Roman" w:eastAsia="仿宋_GB2312" w:cs="仿宋_GB2312"/>
          <w:kern w:val="0"/>
          <w:sz w:val="32"/>
          <w:szCs w:val="32"/>
          <w:lang w:val="en-US" w:bidi="ar-SA"/>
        </w:rPr>
        <w:t>年度一般公共预算财政拨款基本支出决算情况说</w:t>
      </w:r>
    </w:p>
    <w:p w14:paraId="02AE568C">
      <w:pPr>
        <w:autoSpaceDE w:val="0"/>
        <w:autoSpaceDN w:val="0"/>
        <w:adjustRightInd w:val="0"/>
        <w:spacing w:line="560" w:lineRule="exact"/>
        <w:jc w:val="left"/>
        <w:rPr>
          <w:rFonts w:hint="eastAsia" w:ascii="仿宋_GB2312" w:hAnsi="Times New Roman" w:eastAsia="仿宋_GB2312" w:cs="仿宋_GB2312"/>
          <w:kern w:val="0"/>
          <w:sz w:val="32"/>
          <w:szCs w:val="32"/>
          <w:highlight w:val="yellow"/>
          <w:lang w:val="en-US" w:bidi="ar-SA"/>
        </w:rPr>
      </w:pPr>
      <w:r>
        <w:rPr>
          <w:rFonts w:hint="eastAsia" w:ascii="仿宋_GB2312" w:hAnsi="Times New Roman" w:eastAsia="仿宋_GB2312" w:cs="仿宋_GB2312"/>
          <w:kern w:val="0"/>
          <w:sz w:val="32"/>
          <w:szCs w:val="32"/>
          <w:lang w:val="en-US" w:bidi="ar-SA"/>
        </w:rPr>
        <w:t>明</w:t>
      </w:r>
    </w:p>
    <w:p w14:paraId="1BCB7215">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highlight w:val="yellow"/>
          <w:lang w:val="en-US" w:bidi="ar-SA"/>
        </w:rPr>
      </w:pPr>
      <w:r>
        <w:rPr>
          <w:rFonts w:hint="eastAsia" w:ascii="仿宋_GB2312" w:hAnsi="Times New Roman" w:eastAsia="仿宋_GB2312" w:cs="仿宋_GB2312"/>
          <w:kern w:val="0"/>
          <w:sz w:val="32"/>
          <w:szCs w:val="32"/>
          <w:lang w:val="en-US" w:bidi="ar-SA"/>
        </w:rPr>
        <w:t>四、202</w:t>
      </w:r>
      <w:r>
        <w:rPr>
          <w:rFonts w:hint="eastAsia" w:ascii="仿宋_GB2312" w:hAnsi="Times New Roman" w:eastAsia="仿宋_GB2312" w:cs="仿宋_GB2312"/>
          <w:kern w:val="0"/>
          <w:sz w:val="32"/>
          <w:szCs w:val="32"/>
          <w:lang w:val="en-US" w:eastAsia="zh-CN" w:bidi="ar-SA"/>
        </w:rPr>
        <w:t>4</w:t>
      </w:r>
      <w:r>
        <w:rPr>
          <w:rFonts w:hint="eastAsia" w:ascii="仿宋_GB2312" w:hAnsi="Times New Roman" w:eastAsia="仿宋_GB2312" w:cs="仿宋_GB2312"/>
          <w:kern w:val="0"/>
          <w:sz w:val="32"/>
          <w:szCs w:val="32"/>
          <w:lang w:val="en-US" w:bidi="ar-SA"/>
        </w:rPr>
        <w:t>年度政府性基金支出决算情况</w:t>
      </w:r>
    </w:p>
    <w:p w14:paraId="43D5347D">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五、202</w:t>
      </w:r>
      <w:r>
        <w:rPr>
          <w:rFonts w:hint="eastAsia" w:ascii="仿宋_GB2312" w:hAnsi="Times New Roman" w:eastAsia="仿宋_GB2312" w:cs="仿宋_GB2312"/>
          <w:kern w:val="0"/>
          <w:sz w:val="32"/>
          <w:szCs w:val="32"/>
          <w:lang w:val="en-US" w:eastAsia="zh-CN" w:bidi="ar-SA"/>
        </w:rPr>
        <w:t>4</w:t>
      </w:r>
      <w:r>
        <w:rPr>
          <w:rFonts w:hint="eastAsia" w:ascii="仿宋_GB2312" w:hAnsi="Times New Roman" w:eastAsia="仿宋_GB2312" w:cs="仿宋_GB2312"/>
          <w:kern w:val="0"/>
          <w:sz w:val="32"/>
          <w:szCs w:val="32"/>
          <w:lang w:val="en-US" w:bidi="ar-SA"/>
        </w:rPr>
        <w:t>年度国有资本经营预算支出决算情况</w:t>
      </w:r>
    </w:p>
    <w:p w14:paraId="1FA0B708">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六、财政拨款安排的“三公”经费支出决算情况说明</w:t>
      </w:r>
    </w:p>
    <w:p w14:paraId="462DEB49">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七、其他重要事项情况说明</w:t>
      </w:r>
    </w:p>
    <w:p w14:paraId="49E4DD34">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八、预算绩效管理工作开展情况</w:t>
      </w:r>
    </w:p>
    <w:p w14:paraId="6DE89EBB">
      <w:pPr>
        <w:pStyle w:val="4"/>
        <w:spacing w:before="214"/>
        <w:ind w:left="758"/>
        <w:rPr>
          <w:rFonts w:ascii="黑体"/>
        </w:rPr>
      </w:pPr>
      <w:r>
        <w:rPr>
          <w:rFonts w:hint="eastAsia" w:ascii="黑体" w:eastAsia="黑体"/>
        </w:rPr>
        <w:t>第四部分：名词解释</w:t>
      </w:r>
    </w:p>
    <w:p w14:paraId="7D0B08A2">
      <w:pPr>
        <w:pStyle w:val="4"/>
        <w:spacing w:before="7"/>
        <w:ind w:left="0"/>
        <w:rPr>
          <w:rFonts w:ascii="黑体"/>
          <w:sz w:val="42"/>
        </w:rPr>
      </w:pPr>
    </w:p>
    <w:p w14:paraId="385C405A">
      <w:pPr>
        <w:pStyle w:val="4"/>
        <w:spacing w:before="7"/>
        <w:ind w:left="0"/>
        <w:rPr>
          <w:rFonts w:ascii="黑体"/>
          <w:sz w:val="42"/>
        </w:rPr>
      </w:pPr>
    </w:p>
    <w:p w14:paraId="609D5F99">
      <w:pPr>
        <w:pStyle w:val="4"/>
        <w:spacing w:before="7"/>
        <w:ind w:left="0"/>
        <w:rPr>
          <w:rFonts w:ascii="黑体"/>
          <w:sz w:val="42"/>
        </w:rPr>
      </w:pPr>
    </w:p>
    <w:p w14:paraId="2834063C">
      <w:pPr>
        <w:pStyle w:val="4"/>
        <w:spacing w:before="7"/>
        <w:ind w:left="0"/>
        <w:rPr>
          <w:rFonts w:ascii="黑体"/>
          <w:sz w:val="42"/>
        </w:rPr>
      </w:pPr>
    </w:p>
    <w:p w14:paraId="086F0CEA">
      <w:pPr>
        <w:pStyle w:val="4"/>
        <w:spacing w:before="7"/>
        <w:ind w:left="0"/>
        <w:rPr>
          <w:rFonts w:ascii="黑体"/>
          <w:sz w:val="42"/>
        </w:rPr>
      </w:pPr>
    </w:p>
    <w:p w14:paraId="1A1460E5">
      <w:pPr>
        <w:pStyle w:val="4"/>
        <w:spacing w:before="7"/>
        <w:ind w:left="0"/>
        <w:rPr>
          <w:rFonts w:ascii="黑体"/>
          <w:sz w:val="42"/>
        </w:rPr>
      </w:pPr>
    </w:p>
    <w:p w14:paraId="16C0F5E4">
      <w:pPr>
        <w:pStyle w:val="4"/>
        <w:spacing w:before="7"/>
        <w:ind w:left="0"/>
        <w:rPr>
          <w:rFonts w:ascii="黑体"/>
          <w:sz w:val="42"/>
        </w:rPr>
      </w:pPr>
    </w:p>
    <w:p w14:paraId="320393FE">
      <w:pPr>
        <w:pStyle w:val="4"/>
        <w:spacing w:before="7"/>
        <w:ind w:left="0"/>
        <w:rPr>
          <w:rFonts w:ascii="黑体"/>
          <w:sz w:val="42"/>
        </w:rPr>
      </w:pPr>
    </w:p>
    <w:p w14:paraId="1407B082">
      <w:pPr>
        <w:pStyle w:val="4"/>
        <w:spacing w:before="7"/>
        <w:ind w:left="0"/>
        <w:rPr>
          <w:rFonts w:ascii="黑体"/>
          <w:sz w:val="42"/>
        </w:rPr>
      </w:pPr>
    </w:p>
    <w:p w14:paraId="58B20E39">
      <w:pPr>
        <w:pStyle w:val="4"/>
        <w:spacing w:before="7"/>
        <w:ind w:left="0"/>
        <w:rPr>
          <w:rFonts w:ascii="黑体"/>
          <w:sz w:val="42"/>
        </w:rPr>
      </w:pPr>
    </w:p>
    <w:p w14:paraId="0F8F29E2">
      <w:pPr>
        <w:pStyle w:val="4"/>
        <w:spacing w:before="7"/>
        <w:ind w:left="0"/>
        <w:rPr>
          <w:rFonts w:ascii="黑体"/>
          <w:sz w:val="42"/>
        </w:rPr>
      </w:pPr>
    </w:p>
    <w:p w14:paraId="6351B025">
      <w:pPr>
        <w:pStyle w:val="4"/>
        <w:spacing w:before="7"/>
        <w:ind w:left="0"/>
        <w:rPr>
          <w:rFonts w:ascii="黑体"/>
          <w:sz w:val="42"/>
        </w:rPr>
      </w:pPr>
    </w:p>
    <w:p w14:paraId="75BC62DA">
      <w:pPr>
        <w:pStyle w:val="4"/>
        <w:spacing w:before="7"/>
        <w:ind w:left="0"/>
        <w:rPr>
          <w:rFonts w:ascii="黑体"/>
          <w:sz w:val="42"/>
        </w:rPr>
      </w:pPr>
    </w:p>
    <w:p w14:paraId="03C7E600">
      <w:pPr>
        <w:pStyle w:val="4"/>
        <w:spacing w:before="7"/>
        <w:ind w:left="0"/>
        <w:rPr>
          <w:rFonts w:ascii="黑体"/>
          <w:sz w:val="42"/>
        </w:rPr>
      </w:pPr>
    </w:p>
    <w:p w14:paraId="6D4E37BD">
      <w:pPr>
        <w:pStyle w:val="4"/>
        <w:spacing w:before="7"/>
        <w:ind w:left="0"/>
        <w:rPr>
          <w:rFonts w:ascii="黑体"/>
          <w:sz w:val="42"/>
        </w:rPr>
      </w:pPr>
    </w:p>
    <w:p w14:paraId="6EB2A96B">
      <w:pPr>
        <w:pStyle w:val="4"/>
        <w:spacing w:before="7"/>
        <w:ind w:left="0"/>
        <w:rPr>
          <w:rFonts w:ascii="黑体"/>
          <w:sz w:val="42"/>
        </w:rPr>
      </w:pPr>
    </w:p>
    <w:p w14:paraId="3155C20C">
      <w:pPr>
        <w:pStyle w:val="4"/>
        <w:spacing w:before="7"/>
        <w:ind w:left="0"/>
        <w:rPr>
          <w:rFonts w:ascii="黑体"/>
          <w:sz w:val="42"/>
        </w:rPr>
      </w:pPr>
    </w:p>
    <w:p w14:paraId="4CA2100A">
      <w:pPr>
        <w:pStyle w:val="4"/>
        <w:spacing w:before="7"/>
        <w:ind w:left="0"/>
        <w:rPr>
          <w:rFonts w:ascii="黑体"/>
          <w:sz w:val="42"/>
        </w:rPr>
      </w:pPr>
    </w:p>
    <w:p w14:paraId="6D94689B">
      <w:pPr>
        <w:pStyle w:val="4"/>
        <w:spacing w:before="7"/>
        <w:ind w:left="0"/>
        <w:rPr>
          <w:rFonts w:ascii="黑体"/>
          <w:sz w:val="42"/>
        </w:rPr>
      </w:pPr>
    </w:p>
    <w:p w14:paraId="5AB270BD">
      <w:pPr>
        <w:autoSpaceDE/>
        <w:autoSpaceDN/>
        <w:spacing w:line="560" w:lineRule="exact"/>
        <w:ind w:firstLine="646"/>
        <w:jc w:val="center"/>
        <w:rPr>
          <w:rFonts w:hint="eastAsia" w:ascii="黑体" w:hAnsi="黑体" w:eastAsia="黑体" w:cs="Times New Roman"/>
          <w:kern w:val="2"/>
          <w:sz w:val="32"/>
          <w:szCs w:val="32"/>
          <w:lang w:val="en-US" w:bidi="ar-SA"/>
        </w:rPr>
      </w:pPr>
    </w:p>
    <w:p w14:paraId="69C999D7">
      <w:pPr>
        <w:autoSpaceDE/>
        <w:autoSpaceDN/>
        <w:spacing w:line="560" w:lineRule="exact"/>
        <w:ind w:firstLine="646"/>
        <w:jc w:val="center"/>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第一部分：广西新闻出版</w:t>
      </w:r>
      <w:r>
        <w:rPr>
          <w:rFonts w:hint="eastAsia" w:ascii="黑体" w:hAnsi="黑体" w:eastAsia="黑体" w:cs="Times New Roman"/>
          <w:kern w:val="2"/>
          <w:sz w:val="32"/>
          <w:szCs w:val="32"/>
          <w:lang w:val="en-US" w:eastAsia="zh-CN" w:bidi="ar-SA"/>
        </w:rPr>
        <w:t>高级</w:t>
      </w:r>
      <w:r>
        <w:rPr>
          <w:rFonts w:hint="eastAsia" w:ascii="黑体" w:hAnsi="黑体" w:eastAsia="黑体" w:cs="Times New Roman"/>
          <w:kern w:val="2"/>
          <w:sz w:val="32"/>
          <w:szCs w:val="32"/>
          <w:lang w:val="en-US" w:bidi="ar-SA"/>
        </w:rPr>
        <w:t>技工学校概况</w:t>
      </w:r>
    </w:p>
    <w:p w14:paraId="4750BC26">
      <w:pPr>
        <w:autoSpaceDE/>
        <w:autoSpaceDN/>
        <w:spacing w:line="560" w:lineRule="exact"/>
        <w:ind w:firstLine="646"/>
        <w:jc w:val="center"/>
        <w:rPr>
          <w:rFonts w:hint="eastAsia" w:ascii="黑体" w:hAnsi="黑体" w:eastAsia="黑体" w:cs="Times New Roman"/>
          <w:kern w:val="2"/>
          <w:sz w:val="32"/>
          <w:szCs w:val="32"/>
          <w:lang w:val="en-US" w:bidi="ar-SA"/>
        </w:rPr>
      </w:pPr>
    </w:p>
    <w:p w14:paraId="4B617DDF">
      <w:pPr>
        <w:pStyle w:val="4"/>
        <w:spacing w:before="150" w:line="328" w:lineRule="auto"/>
        <w:ind w:right="273" w:firstLine="64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一、本单位主要职能</w:t>
      </w:r>
    </w:p>
    <w:p w14:paraId="295A09B0">
      <w:pPr>
        <w:pStyle w:val="4"/>
        <w:spacing w:before="214" w:line="560" w:lineRule="exact"/>
        <w:ind w:left="0"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广西新闻出版高级技工学校隶属于自治区广播电视局，是一所集学制教育、技能培训、技能鉴定为一体，为印刷行业、烹饪等专业培养高技能人才的优质综合性高级技工学校。</w:t>
      </w:r>
    </w:p>
    <w:p w14:paraId="20B27E66">
      <w:pPr>
        <w:pStyle w:val="4"/>
        <w:spacing w:before="150" w:line="328" w:lineRule="auto"/>
        <w:ind w:right="273" w:firstLine="640"/>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二、机构设置情况</w:t>
      </w:r>
    </w:p>
    <w:p w14:paraId="1BA3E4A2">
      <w:pPr>
        <w:pStyle w:val="4"/>
        <w:spacing w:before="214" w:line="560" w:lineRule="exact"/>
        <w:ind w:left="0"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广西新闻出版高级技工学校内设6个机构，分别是办公室、教务科、学生保卫科、招生就业科、总务科、培训科，与2023年相比无变化。</w:t>
      </w:r>
    </w:p>
    <w:p w14:paraId="3472B04B">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5732761B">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59568D10">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1A7C6C38">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1CDF6FCA">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4306D964">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016D8C2E">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098A5AB2">
      <w:pPr>
        <w:pStyle w:val="4"/>
        <w:spacing w:before="150" w:line="328" w:lineRule="auto"/>
        <w:ind w:right="273" w:firstLine="640"/>
        <w:rPr>
          <w:rFonts w:hint="eastAsia" w:ascii="黑体" w:hAnsi="黑体" w:eastAsia="黑体" w:cs="Times New Roman"/>
          <w:kern w:val="2"/>
          <w:sz w:val="32"/>
          <w:szCs w:val="32"/>
          <w:lang w:val="en-US" w:eastAsia="zh-CN" w:bidi="ar-SA"/>
        </w:rPr>
      </w:pPr>
    </w:p>
    <w:p w14:paraId="6684D83F">
      <w:pPr>
        <w:pStyle w:val="4"/>
        <w:spacing w:before="150" w:line="328" w:lineRule="auto"/>
        <w:ind w:right="273" w:firstLine="640"/>
        <w:rPr>
          <w:rFonts w:hint="eastAsia" w:ascii="黑体" w:hAnsi="黑体" w:eastAsia="黑体" w:cs="Times New Roman"/>
          <w:kern w:val="2"/>
          <w:sz w:val="32"/>
          <w:szCs w:val="32"/>
          <w:lang w:val="en-US" w:eastAsia="zh-CN" w:bidi="ar-SA"/>
        </w:rPr>
      </w:pPr>
    </w:p>
    <w:p w14:paraId="5D613E9A">
      <w:pPr>
        <w:pStyle w:val="4"/>
        <w:spacing w:before="150" w:line="328" w:lineRule="auto"/>
        <w:ind w:right="273" w:firstLine="640"/>
        <w:rPr>
          <w:rFonts w:hint="eastAsia" w:ascii="黑体" w:hAnsi="黑体" w:eastAsia="黑体" w:cs="Times New Roman"/>
          <w:kern w:val="2"/>
          <w:sz w:val="32"/>
          <w:szCs w:val="32"/>
          <w:lang w:val="en-US" w:eastAsia="zh-CN" w:bidi="ar-SA"/>
        </w:rPr>
      </w:pPr>
    </w:p>
    <w:p w14:paraId="2CBC841D">
      <w:pPr>
        <w:pStyle w:val="4"/>
        <w:spacing w:before="150" w:line="328" w:lineRule="auto"/>
        <w:ind w:right="273" w:firstLine="640"/>
        <w:rPr>
          <w:rFonts w:ascii="仿宋_GB2312" w:hAnsi="Times New Roman" w:eastAsia="仿宋_GB2312" w:cs="Times New Roman"/>
          <w:kern w:val="2"/>
          <w:lang w:bidi="ar-SA"/>
        </w:rPr>
      </w:pPr>
      <w:r>
        <w:rPr>
          <w:rFonts w:hint="eastAsia" w:ascii="黑体" w:hAnsi="黑体" w:eastAsia="黑体" w:cs="Times New Roman"/>
          <w:kern w:val="2"/>
          <w:sz w:val="32"/>
          <w:szCs w:val="32"/>
          <w:lang w:val="en-US" w:eastAsia="zh-CN" w:bidi="ar-SA"/>
        </w:rPr>
        <w:t>第二部分：广西新闻出版高级技工学校2024年度决算报表</w:t>
      </w:r>
    </w:p>
    <w:p w14:paraId="1443E9B3">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表一：收入支出决算总表</w:t>
      </w:r>
    </w:p>
    <w:p w14:paraId="1A6BEBA5">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表二：收入决算表</w:t>
      </w:r>
    </w:p>
    <w:p w14:paraId="170CDB3C">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表三：支出决算表</w:t>
      </w:r>
    </w:p>
    <w:p w14:paraId="75A90EFD">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表四：财政拨款收入支出决算总表</w:t>
      </w:r>
    </w:p>
    <w:p w14:paraId="195B1683">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表五：一般公共预算财政拨款支出决算表</w:t>
      </w:r>
    </w:p>
    <w:p w14:paraId="07302574">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表六：一般公共预算财政拨款基本支出决算</w:t>
      </w:r>
      <w:r>
        <w:rPr>
          <w:rFonts w:hint="eastAsia" w:ascii="仿宋_GB2312" w:hAnsi="Times New Roman" w:eastAsia="仿宋_GB2312" w:cs="Times New Roman"/>
          <w:kern w:val="2"/>
          <w:lang w:val="en-US" w:eastAsia="zh-CN" w:bidi="ar-SA"/>
        </w:rPr>
        <w:t>明细</w:t>
      </w:r>
      <w:r>
        <w:rPr>
          <w:rFonts w:hint="eastAsia" w:ascii="仿宋_GB2312" w:hAnsi="Times New Roman" w:eastAsia="仿宋_GB2312" w:cs="Times New Roman"/>
          <w:kern w:val="2"/>
          <w:lang w:val="en-US" w:bidi="ar-SA"/>
        </w:rPr>
        <w:t>表</w:t>
      </w:r>
    </w:p>
    <w:p w14:paraId="791287C3">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表七：政府性基金预算财政拨款收入支出决算表</w:t>
      </w:r>
    </w:p>
    <w:p w14:paraId="3FCB0A83">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表八：国有资本经营预算财政拨款支出决算表</w:t>
      </w:r>
    </w:p>
    <w:p w14:paraId="7E8DF24C">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表九：财政拨款“三公”经费支出决算表</w:t>
      </w:r>
    </w:p>
    <w:p w14:paraId="361242D6">
      <w:pPr>
        <w:ind w:firstLine="640" w:firstLineChars="200"/>
        <w:rPr>
          <w:rFonts w:hint="eastAsia" w:ascii="仿宋_GB2312" w:hAnsi="仿宋_GB2312" w:eastAsia="仿宋_GB2312" w:cs="仿宋_GB2312"/>
          <w:sz w:val="32"/>
          <w:szCs w:val="32"/>
        </w:rPr>
      </w:pPr>
    </w:p>
    <w:p w14:paraId="52E5F184">
      <w:pPr>
        <w:ind w:firstLine="640" w:firstLineChars="200"/>
        <w:rPr>
          <w:rFonts w:hint="eastAsia" w:ascii="仿宋_GB2312" w:hAnsi="仿宋_GB2312" w:eastAsia="仿宋_GB2312" w:cs="仿宋_GB2312"/>
          <w:sz w:val="32"/>
          <w:szCs w:val="32"/>
        </w:rPr>
      </w:pPr>
    </w:p>
    <w:p w14:paraId="67E0556C">
      <w:pPr>
        <w:ind w:firstLine="640" w:firstLineChars="200"/>
        <w:rPr>
          <w:rFonts w:hint="eastAsia" w:ascii="仿宋_GB2312" w:hAnsi="仿宋_GB2312" w:eastAsia="仿宋_GB2312" w:cs="仿宋_GB2312"/>
          <w:sz w:val="32"/>
          <w:szCs w:val="32"/>
        </w:rPr>
      </w:pPr>
    </w:p>
    <w:p w14:paraId="722AA4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（详见附件1：广西新闻出版</w:t>
      </w:r>
      <w:r>
        <w:rPr>
          <w:rFonts w:hint="eastAsia" w:ascii="仿宋_GB2312" w:hAnsi="仿宋_GB2312" w:eastAsia="仿宋_GB2312" w:cs="仿宋_GB2312"/>
          <w:sz w:val="32"/>
          <w:szCs w:val="32"/>
          <w:lang w:val="en-US" w:eastAsia="zh-CN"/>
        </w:rPr>
        <w:t>高级</w:t>
      </w:r>
      <w:r>
        <w:rPr>
          <w:rFonts w:hint="eastAsia" w:ascii="仿宋_GB2312" w:hAnsi="仿宋_GB2312" w:eastAsia="仿宋_GB2312" w:cs="仿宋_GB2312"/>
          <w:sz w:val="32"/>
          <w:szCs w:val="32"/>
        </w:rPr>
        <w:t>技工学校202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年度部门决算公开附表）</w:t>
      </w:r>
    </w:p>
    <w:p w14:paraId="7B95F2AF">
      <w:pPr>
        <w:ind w:firstLine="640" w:firstLineChars="200"/>
        <w:rPr>
          <w:rFonts w:ascii="仿宋_GB2312" w:hAnsi="仿宋_GB2312" w:eastAsia="仿宋_GB2312" w:cs="仿宋_GB2312"/>
          <w:sz w:val="32"/>
          <w:szCs w:val="32"/>
        </w:rPr>
      </w:pPr>
    </w:p>
    <w:p w14:paraId="5FE1EADD">
      <w:pPr>
        <w:ind w:firstLine="640" w:firstLineChars="200"/>
        <w:rPr>
          <w:rFonts w:ascii="仿宋_GB2312" w:hAnsi="仿宋_GB2312" w:eastAsia="仿宋_GB2312" w:cs="仿宋_GB2312"/>
          <w:sz w:val="32"/>
          <w:szCs w:val="32"/>
        </w:rPr>
      </w:pPr>
    </w:p>
    <w:p w14:paraId="34F71718">
      <w:pPr>
        <w:ind w:firstLine="640" w:firstLineChars="200"/>
        <w:rPr>
          <w:rFonts w:ascii="仿宋_GB2312" w:hAnsi="仿宋_GB2312" w:eastAsia="仿宋_GB2312" w:cs="仿宋_GB2312"/>
          <w:sz w:val="32"/>
          <w:szCs w:val="32"/>
        </w:rPr>
      </w:pPr>
    </w:p>
    <w:p w14:paraId="55CF277C">
      <w:pPr>
        <w:ind w:firstLine="640" w:firstLineChars="200"/>
        <w:rPr>
          <w:rFonts w:ascii="仿宋_GB2312" w:hAnsi="仿宋_GB2312" w:eastAsia="仿宋_GB2312" w:cs="仿宋_GB2312"/>
          <w:sz w:val="32"/>
          <w:szCs w:val="32"/>
        </w:rPr>
      </w:pPr>
    </w:p>
    <w:p w14:paraId="7F9DF32C">
      <w:pPr>
        <w:ind w:firstLine="640" w:firstLineChars="200"/>
        <w:rPr>
          <w:rFonts w:ascii="仿宋_GB2312" w:hAnsi="仿宋_GB2312" w:eastAsia="仿宋_GB2312" w:cs="仿宋_GB2312"/>
          <w:sz w:val="32"/>
          <w:szCs w:val="32"/>
        </w:rPr>
      </w:pPr>
    </w:p>
    <w:p w14:paraId="76731E85">
      <w:pPr>
        <w:ind w:firstLine="640" w:firstLineChars="200"/>
        <w:rPr>
          <w:rFonts w:ascii="仿宋_GB2312" w:hAnsi="仿宋_GB2312" w:eastAsia="仿宋_GB2312" w:cs="仿宋_GB2312"/>
          <w:sz w:val="32"/>
          <w:szCs w:val="32"/>
        </w:rPr>
      </w:pPr>
    </w:p>
    <w:p w14:paraId="1CAECBC8">
      <w:pPr>
        <w:ind w:firstLine="640" w:firstLineChars="200"/>
        <w:rPr>
          <w:rFonts w:ascii="仿宋_GB2312" w:hAnsi="仿宋_GB2312" w:eastAsia="仿宋_GB2312" w:cs="仿宋_GB2312"/>
          <w:sz w:val="32"/>
          <w:szCs w:val="32"/>
        </w:rPr>
      </w:pPr>
    </w:p>
    <w:p w14:paraId="2EF32710">
      <w:pPr>
        <w:ind w:firstLine="640" w:firstLineChars="200"/>
        <w:rPr>
          <w:rFonts w:ascii="仿宋_GB2312" w:hAnsi="仿宋_GB2312" w:eastAsia="仿宋_GB2312" w:cs="仿宋_GB2312"/>
          <w:sz w:val="32"/>
          <w:szCs w:val="32"/>
        </w:rPr>
      </w:pPr>
    </w:p>
    <w:p w14:paraId="63035E0C">
      <w:pPr>
        <w:ind w:firstLine="640" w:firstLineChars="200"/>
        <w:rPr>
          <w:rFonts w:ascii="仿宋_GB2312" w:hAnsi="仿宋_GB2312" w:eastAsia="仿宋_GB2312" w:cs="仿宋_GB2312"/>
          <w:sz w:val="32"/>
          <w:szCs w:val="32"/>
        </w:rPr>
      </w:pPr>
    </w:p>
    <w:p w14:paraId="4F8147EE">
      <w:pPr>
        <w:ind w:firstLine="640" w:firstLineChars="200"/>
        <w:rPr>
          <w:rFonts w:ascii="仿宋_GB2312" w:hAnsi="仿宋_GB2312" w:eastAsia="仿宋_GB2312" w:cs="仿宋_GB2312"/>
          <w:sz w:val="32"/>
          <w:szCs w:val="32"/>
        </w:rPr>
      </w:pPr>
    </w:p>
    <w:p w14:paraId="7FE74DCA">
      <w:pPr>
        <w:ind w:firstLine="640" w:firstLineChars="200"/>
        <w:rPr>
          <w:rFonts w:ascii="仿宋_GB2312" w:hAnsi="仿宋_GB2312" w:eastAsia="仿宋_GB2312" w:cs="仿宋_GB2312"/>
          <w:sz w:val="32"/>
          <w:szCs w:val="32"/>
        </w:rPr>
      </w:pPr>
    </w:p>
    <w:p w14:paraId="07CA29BF">
      <w:pPr>
        <w:ind w:firstLine="640" w:firstLineChars="200"/>
        <w:rPr>
          <w:rFonts w:ascii="仿宋_GB2312" w:hAnsi="仿宋_GB2312" w:eastAsia="仿宋_GB2312" w:cs="仿宋_GB2312"/>
          <w:sz w:val="32"/>
          <w:szCs w:val="32"/>
        </w:rPr>
      </w:pPr>
    </w:p>
    <w:p w14:paraId="1F9D8473">
      <w:pPr>
        <w:ind w:firstLine="640" w:firstLineChars="200"/>
        <w:rPr>
          <w:rFonts w:ascii="仿宋_GB2312" w:hAnsi="仿宋_GB2312" w:eastAsia="仿宋_GB2312" w:cs="仿宋_GB2312"/>
          <w:sz w:val="32"/>
          <w:szCs w:val="32"/>
        </w:rPr>
      </w:pPr>
    </w:p>
    <w:p w14:paraId="0E7E9BED">
      <w:pPr>
        <w:pStyle w:val="4"/>
        <w:spacing w:before="30" w:line="326" w:lineRule="auto"/>
        <w:ind w:left="758" w:right="170" w:hanging="641"/>
        <w:jc w:val="center"/>
        <w:rPr>
          <w:rFonts w:hint="eastAsia" w:ascii="黑体" w:eastAsia="黑体"/>
          <w:spacing w:val="-11"/>
        </w:rPr>
      </w:pPr>
      <w:r>
        <w:rPr>
          <w:rFonts w:hint="eastAsia" w:ascii="黑体" w:eastAsia="黑体"/>
          <w:spacing w:val="-7"/>
        </w:rPr>
        <w:t>第三部分：广西新闻出版</w:t>
      </w:r>
      <w:r>
        <w:rPr>
          <w:rFonts w:hint="eastAsia" w:ascii="黑体" w:eastAsia="黑体"/>
          <w:spacing w:val="-7"/>
          <w:lang w:val="en-US" w:eastAsia="zh-CN"/>
        </w:rPr>
        <w:t>高级</w:t>
      </w:r>
      <w:r>
        <w:rPr>
          <w:rFonts w:hint="eastAsia" w:ascii="黑体" w:eastAsia="黑体"/>
          <w:spacing w:val="-7"/>
        </w:rPr>
        <w:t>技工学校</w:t>
      </w:r>
      <w:r>
        <w:rPr>
          <w:rFonts w:hint="eastAsia" w:ascii="黑体" w:eastAsia="黑体"/>
          <w:spacing w:val="-7"/>
          <w:lang w:val="en-US"/>
        </w:rPr>
        <w:t>202</w:t>
      </w:r>
      <w:r>
        <w:rPr>
          <w:rFonts w:hint="eastAsia" w:ascii="黑体" w:eastAsia="黑体"/>
          <w:spacing w:val="-7"/>
          <w:lang w:val="en-US" w:eastAsia="zh-CN"/>
        </w:rPr>
        <w:t>4</w:t>
      </w:r>
      <w:r>
        <w:rPr>
          <w:rFonts w:hint="eastAsia" w:ascii="黑体" w:eastAsia="黑体"/>
          <w:spacing w:val="-11"/>
        </w:rPr>
        <w:t>年度</w:t>
      </w:r>
    </w:p>
    <w:p w14:paraId="2E6A5978">
      <w:pPr>
        <w:pStyle w:val="4"/>
        <w:spacing w:before="30" w:line="326" w:lineRule="auto"/>
        <w:ind w:left="758" w:right="170" w:hanging="641"/>
        <w:jc w:val="center"/>
        <w:rPr>
          <w:rFonts w:hint="eastAsia" w:ascii="黑体" w:eastAsia="黑体"/>
          <w:spacing w:val="-11"/>
        </w:rPr>
      </w:pPr>
      <w:r>
        <w:rPr>
          <w:rFonts w:hint="eastAsia" w:ascii="黑体" w:eastAsia="黑体"/>
          <w:spacing w:val="-11"/>
        </w:rPr>
        <w:t>部门决算情况说明</w:t>
      </w:r>
    </w:p>
    <w:p w14:paraId="3D38B7E7">
      <w:pPr>
        <w:pStyle w:val="4"/>
        <w:spacing w:before="30" w:line="326" w:lineRule="auto"/>
        <w:ind w:left="758" w:right="170" w:hanging="641"/>
        <w:jc w:val="center"/>
        <w:rPr>
          <w:rFonts w:hint="eastAsia" w:ascii="黑体" w:eastAsia="黑体"/>
          <w:spacing w:val="-11"/>
        </w:rPr>
      </w:pPr>
    </w:p>
    <w:p w14:paraId="5A2A178A">
      <w:pPr>
        <w:pStyle w:val="4"/>
        <w:spacing w:before="30" w:line="326" w:lineRule="auto"/>
        <w:ind w:left="838" w:leftChars="381" w:right="170" w:firstLine="32" w:firstLineChars="10"/>
        <w:rPr>
          <w:rFonts w:ascii="黑体" w:eastAsia="黑体"/>
        </w:rPr>
      </w:pPr>
      <w:r>
        <w:rPr>
          <w:rFonts w:hint="eastAsia" w:ascii="黑体" w:eastAsia="黑体"/>
        </w:rPr>
        <w:t>一、20</w:t>
      </w:r>
      <w:r>
        <w:rPr>
          <w:rFonts w:hint="eastAsia" w:ascii="黑体" w:eastAsia="黑体"/>
          <w:lang w:val="en-US"/>
        </w:rPr>
        <w:t>2</w:t>
      </w:r>
      <w:r>
        <w:rPr>
          <w:rFonts w:hint="eastAsia" w:ascii="黑体" w:eastAsia="黑体"/>
          <w:lang w:val="en-US" w:eastAsia="zh-CN"/>
        </w:rPr>
        <w:t>4</w:t>
      </w:r>
      <w:r>
        <w:rPr>
          <w:rFonts w:hint="eastAsia" w:ascii="黑体" w:eastAsia="黑体"/>
        </w:rPr>
        <w:t>年度收入支出决算总体情况</w:t>
      </w:r>
    </w:p>
    <w:p w14:paraId="33750FF8">
      <w:pPr>
        <w:pStyle w:val="4"/>
        <w:spacing w:before="214" w:line="560" w:lineRule="exact"/>
        <w:ind w:left="3" w:firstLine="758" w:firstLineChars="237"/>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（一）本单位202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val="en-US" w:bidi="ar-SA"/>
        </w:rPr>
        <w:t>年度总收入</w:t>
      </w:r>
      <w:r>
        <w:rPr>
          <w:rFonts w:hint="eastAsia" w:ascii="仿宋_GB2312" w:hAnsi="Times New Roman" w:eastAsia="仿宋_GB2312" w:cs="Times New Roman"/>
          <w:kern w:val="2"/>
          <w:highlight w:val="none"/>
          <w:lang w:val="en-US" w:eastAsia="zh-CN" w:bidi="ar-SA"/>
        </w:rPr>
        <w:t>5090.97</w:t>
      </w:r>
      <w:r>
        <w:rPr>
          <w:rFonts w:hint="eastAsia" w:ascii="仿宋_GB2312" w:hAnsi="Times New Roman" w:eastAsia="仿宋_GB2312" w:cs="Times New Roman"/>
          <w:kern w:val="2"/>
          <w:lang w:val="en-US" w:bidi="ar-SA"/>
        </w:rPr>
        <w:t>万元，其中本年收入</w:t>
      </w:r>
      <w:r>
        <w:rPr>
          <w:rFonts w:hint="eastAsia" w:ascii="仿宋_GB2312" w:hAnsi="Times New Roman" w:eastAsia="仿宋_GB2312" w:cs="Times New Roman"/>
          <w:kern w:val="2"/>
          <w:lang w:val="en-US" w:eastAsia="zh-CN" w:bidi="ar-SA"/>
        </w:rPr>
        <w:t>3219.57</w:t>
      </w:r>
      <w:r>
        <w:rPr>
          <w:rFonts w:hint="eastAsia" w:ascii="仿宋_GB2312" w:hAnsi="Times New Roman" w:eastAsia="仿宋_GB2312" w:cs="Times New Roman"/>
          <w:kern w:val="2"/>
          <w:lang w:val="en-US" w:bidi="ar-SA"/>
        </w:rPr>
        <w:t>万元, 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年度决算数</w:t>
      </w:r>
      <w:r>
        <w:rPr>
          <w:rFonts w:hint="eastAsia" w:ascii="仿宋_GB2312" w:hAnsi="Times New Roman" w:eastAsia="仿宋_GB2312" w:cs="Times New Roman"/>
          <w:kern w:val="2"/>
          <w:lang w:val="en-US" w:eastAsia="zh-CN" w:bidi="ar-SA"/>
        </w:rPr>
        <w:t>减少2951.48</w:t>
      </w:r>
      <w:r>
        <w:rPr>
          <w:rFonts w:hint="eastAsia" w:ascii="仿宋_GB2312" w:hAnsi="Times New Roman" w:eastAsia="仿宋_GB2312" w:cs="Times New Roman"/>
          <w:kern w:val="2"/>
          <w:lang w:val="en-US" w:bidi="ar-SA"/>
        </w:rPr>
        <w:t>万元，</w:t>
      </w:r>
      <w:r>
        <w:rPr>
          <w:rFonts w:hint="eastAsia" w:ascii="仿宋_GB2312" w:hAnsi="Times New Roman" w:eastAsia="仿宋_GB2312" w:cs="Times New Roman"/>
          <w:kern w:val="2"/>
          <w:lang w:val="en-US" w:eastAsia="zh-CN" w:bidi="ar-SA"/>
        </w:rPr>
        <w:t>下降47.83</w:t>
      </w:r>
      <w:r>
        <w:rPr>
          <w:rFonts w:hint="eastAsia" w:ascii="仿宋_GB2312" w:hAnsi="Times New Roman" w:eastAsia="仿宋_GB2312" w:cs="Times New Roman"/>
          <w:kern w:val="2"/>
          <w:lang w:val="en-US" w:bidi="ar-SA"/>
        </w:rPr>
        <w:drawing>
          <wp:inline distT="0" distB="0" distL="0" distR="0">
            <wp:extent cx="85725" cy="155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。收入具体情况如下。</w:t>
      </w:r>
    </w:p>
    <w:p w14:paraId="105D5011">
      <w:pPr>
        <w:pStyle w:val="4"/>
        <w:spacing w:before="214" w:line="560" w:lineRule="exact"/>
        <w:ind w:left="3" w:firstLine="758" w:firstLineChars="237"/>
        <w:rPr>
          <w:rFonts w:hint="default" w:ascii="仿宋_GB2312" w:hAnsi="Times New Roman" w:eastAsia="仿宋_GB2312" w:cs="Times New Roman"/>
          <w:kern w:val="2"/>
          <w:lang w:val="en-US" w:eastAsia="zh-CN" w:bidi="ar-SA"/>
        </w:rPr>
      </w:pPr>
      <w:r>
        <w:rPr>
          <w:rFonts w:hint="eastAsia" w:ascii="仿宋_GB2312" w:hAnsi="Times New Roman" w:eastAsia="仿宋_GB2312" w:cs="Times New Roman"/>
          <w:kern w:val="2"/>
          <w:lang w:val="en-US" w:bidi="ar-SA"/>
        </w:rPr>
        <w:t>1.一般公共预算财政拨款收入</w:t>
      </w:r>
      <w:r>
        <w:rPr>
          <w:rFonts w:hint="eastAsia" w:ascii="仿宋_GB2312" w:hAnsi="Times New Roman" w:eastAsia="仿宋_GB2312" w:cs="Times New Roman"/>
          <w:kern w:val="2"/>
          <w:lang w:val="en-US" w:eastAsia="zh-CN" w:bidi="ar-SA"/>
        </w:rPr>
        <w:t>2667.23</w:t>
      </w:r>
      <w:r>
        <w:rPr>
          <w:rFonts w:hint="eastAsia" w:ascii="仿宋_GB2312" w:hAnsi="Times New Roman" w:eastAsia="仿宋_GB2312" w:cs="Times New Roman"/>
          <w:kern w:val="2"/>
          <w:lang w:val="en-US" w:bidi="ar-SA"/>
        </w:rPr>
        <w:t>万元，为自治区本级财政当年拨付的资金。较202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年度决算数</w:t>
      </w:r>
      <w:r>
        <w:rPr>
          <w:rFonts w:hint="eastAsia" w:ascii="仿宋_GB2312" w:hAnsi="Times New Roman" w:eastAsia="仿宋_GB2312" w:cs="Times New Roman"/>
          <w:kern w:val="2"/>
          <w:lang w:val="en-US" w:eastAsia="zh-CN" w:bidi="ar-SA"/>
        </w:rPr>
        <w:t>减少2945.39</w:t>
      </w:r>
      <w:r>
        <w:rPr>
          <w:rFonts w:hint="eastAsia" w:ascii="仿宋_GB2312" w:hAnsi="Times New Roman" w:eastAsia="仿宋_GB2312" w:cs="Times New Roman"/>
          <w:kern w:val="2"/>
          <w:lang w:val="en-US" w:bidi="ar-SA"/>
        </w:rPr>
        <w:t>万元，</w:t>
      </w:r>
      <w:r>
        <w:rPr>
          <w:rFonts w:hint="eastAsia" w:ascii="仿宋_GB2312" w:hAnsi="Times New Roman" w:eastAsia="仿宋_GB2312" w:cs="Times New Roman"/>
          <w:kern w:val="2"/>
          <w:lang w:val="en-US" w:eastAsia="zh-CN" w:bidi="ar-SA"/>
        </w:rPr>
        <w:t>下降52.48</w:t>
      </w:r>
      <w:r>
        <w:rPr>
          <w:rFonts w:hint="eastAsia" w:ascii="仿宋_GB2312" w:hAnsi="Times New Roman" w:eastAsia="仿宋_GB2312" w:cs="Times New Roman"/>
          <w:kern w:val="2"/>
          <w:lang w:val="en-US" w:bidi="ar-SA"/>
        </w:rPr>
        <w:drawing>
          <wp:inline distT="0" distB="0" distL="0" distR="0">
            <wp:extent cx="85725" cy="1555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，主要原因是</w:t>
      </w:r>
      <w:r>
        <w:rPr>
          <w:rFonts w:hint="eastAsia" w:ascii="仿宋_GB2312" w:hAnsi="Times New Roman" w:eastAsia="仿宋_GB2312" w:cs="Times New Roman"/>
          <w:kern w:val="2"/>
          <w:lang w:val="en-US" w:eastAsia="zh-CN" w:bidi="ar-SA"/>
        </w:rPr>
        <w:t>2023年度列支结转2024年度1871.40万元资金以及2023年度政府加大对于专业设备采购及新校区建设一般公共预算拨款补助资金投入力度，以上原因造成2024年度一般公共预算财政拨款资金相应减少。</w:t>
      </w:r>
    </w:p>
    <w:p w14:paraId="10F36A2A">
      <w:pPr>
        <w:pStyle w:val="4"/>
        <w:spacing w:before="214" w:line="560" w:lineRule="exact"/>
        <w:ind w:left="3" w:firstLine="758" w:firstLineChars="237"/>
        <w:rPr>
          <w:rFonts w:hint="eastAsia"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2.政府性基金预算财政拨款收入0万元。较202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年度决算数增加（减少）0万元，增长（下降）0</w:t>
      </w:r>
      <w:r>
        <w:rPr>
          <w:rFonts w:hint="eastAsia" w:ascii="仿宋_GB2312" w:hAnsi="Times New Roman" w:eastAsia="仿宋_GB2312" w:cs="Times New Roman"/>
          <w:kern w:val="2"/>
          <w:lang w:val="en-US" w:bidi="ar-SA"/>
        </w:rPr>
        <w:drawing>
          <wp:inline distT="0" distB="0" distL="0" distR="0">
            <wp:extent cx="85725" cy="1555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，主要原因是本单位没有政府性基金预算收入。</w:t>
      </w:r>
    </w:p>
    <w:p w14:paraId="6A5F7781">
      <w:pPr>
        <w:pStyle w:val="4"/>
        <w:spacing w:before="214" w:line="560" w:lineRule="exact"/>
        <w:ind w:left="3" w:firstLine="758" w:firstLineChars="237"/>
        <w:rPr>
          <w:rFonts w:ascii="仿宋_GB2312" w:hAnsi="Times New Roman" w:eastAsia="仿宋_GB2312" w:cs="Times New Roman"/>
          <w:kern w:val="2"/>
          <w:lang w:bidi="ar-SA"/>
        </w:rPr>
      </w:pPr>
      <w:r>
        <w:rPr>
          <w:rFonts w:hint="eastAsia" w:ascii="仿宋_GB2312" w:hAnsi="Times New Roman" w:eastAsia="仿宋_GB2312" w:cs="Times New Roman"/>
          <w:kern w:val="2"/>
          <w:lang w:val="en-US" w:bidi="ar-SA"/>
        </w:rPr>
        <w:t>3.国有资本经营预算财政拨款收入0万元，为自治区本级财政当年拨付的资金。较202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w:t>
      </w:r>
      <w:r>
        <w:rPr>
          <w:rFonts w:hint="eastAsia" w:ascii="仿宋_GB2312" w:hAnsi="Times New Roman" w:eastAsia="仿宋_GB2312" w:cs="Times New Roman"/>
          <w:kern w:val="2"/>
          <w:lang w:bidi="ar-SA"/>
        </w:rPr>
        <w:t>决算数增加（减少）</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万元，增长（下降）</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%，主要原因是本单位没有国有资本经营预算财政拨款收入。</w:t>
      </w:r>
    </w:p>
    <w:p w14:paraId="3D18FB97">
      <w:pPr>
        <w:snapToGrid w:val="0"/>
        <w:spacing w:line="520" w:lineRule="exact"/>
        <w:ind w:firstLine="640" w:firstLineChars="200"/>
        <w:rPr>
          <w:rFonts w:ascii="仿宋_GB2312" w:hAnsi="仿宋" w:eastAsia="仿宋_GB2312"/>
          <w:sz w:val="32"/>
          <w:szCs w:val="32"/>
          <w:lang w:val="en-US"/>
        </w:rPr>
      </w:pPr>
      <w:r>
        <w:rPr>
          <w:rFonts w:hint="eastAsia" w:ascii="仿宋_GB2312" w:hAnsi="Times New Roman" w:eastAsia="仿宋_GB2312" w:cs="Times New Roman"/>
          <w:kern w:val="2"/>
          <w:sz w:val="32"/>
          <w:szCs w:val="32"/>
          <w:lang w:val="en-US" w:bidi="ar-SA"/>
        </w:rPr>
        <w:t>4.事业收入</w:t>
      </w:r>
      <w:r>
        <w:rPr>
          <w:rFonts w:hint="eastAsia" w:ascii="仿宋_GB2312" w:hAnsi="Times New Roman" w:eastAsia="仿宋_GB2312" w:cs="Times New Roman"/>
          <w:kern w:val="2"/>
          <w:sz w:val="32"/>
          <w:szCs w:val="32"/>
          <w:lang w:val="en-US" w:eastAsia="zh-CN" w:bidi="ar-SA"/>
        </w:rPr>
        <w:t>490.14</w:t>
      </w:r>
      <w:r>
        <w:rPr>
          <w:rFonts w:hint="eastAsia" w:ascii="仿宋_GB2312" w:hAnsi="Times New Roman" w:eastAsia="仿宋_GB2312" w:cs="Times New Roman"/>
          <w:kern w:val="2"/>
          <w:sz w:val="32"/>
          <w:szCs w:val="32"/>
          <w:lang w:val="en-US" w:bidi="ar-SA"/>
        </w:rPr>
        <w:t>万元，为事业单位开展业务活动取得的收入。较202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增加4.10</w:t>
      </w:r>
      <w:r>
        <w:rPr>
          <w:rFonts w:hint="eastAsia" w:ascii="仿宋_GB2312" w:hAnsi="Times New Roman" w:eastAsia="仿宋_GB2312" w:cs="Times New Roman"/>
          <w:kern w:val="2"/>
          <w:sz w:val="32"/>
          <w:szCs w:val="32"/>
          <w:lang w:val="en-US" w:bidi="ar-SA"/>
        </w:rPr>
        <w:t>万元，</w:t>
      </w:r>
      <w:r>
        <w:rPr>
          <w:rFonts w:hint="eastAsia" w:ascii="仿宋_GB2312" w:hAnsi="Times New Roman" w:eastAsia="仿宋_GB2312" w:cs="Times New Roman"/>
          <w:kern w:val="2"/>
          <w:sz w:val="32"/>
          <w:szCs w:val="32"/>
          <w:lang w:val="en-US" w:eastAsia="zh-CN" w:bidi="ar-SA"/>
        </w:rPr>
        <w:t>增长0.84</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w:t>
      </w:r>
      <w:r>
        <w:rPr>
          <w:rFonts w:hint="eastAsia" w:ascii="Times New Roman" w:hAnsi="Times New Roman" w:eastAsia="仿宋_GB2312" w:cs="Times New Roman"/>
          <w:spacing w:val="-3"/>
          <w:sz w:val="31"/>
          <w:szCs w:val="31"/>
          <w:highlight w:val="none"/>
          <w:lang w:val="en-US" w:eastAsia="zh-CN"/>
        </w:rPr>
        <w:t>对外开展培训业务增加，培训收入增加</w:t>
      </w:r>
      <w:r>
        <w:rPr>
          <w:rFonts w:hint="eastAsia" w:ascii="仿宋_GB2312" w:hAnsi="仿宋" w:eastAsia="仿宋_GB2312"/>
          <w:sz w:val="32"/>
          <w:szCs w:val="32"/>
          <w:lang w:val="en-US"/>
        </w:rPr>
        <w:t>。</w:t>
      </w:r>
    </w:p>
    <w:p w14:paraId="52476ABA">
      <w:pPr>
        <w:pStyle w:val="11"/>
        <w:tabs>
          <w:tab w:val="left" w:pos="1066"/>
        </w:tabs>
        <w:spacing w:line="328" w:lineRule="auto"/>
        <w:ind w:left="4" w:right="313" w:firstLine="739" w:firstLineChars="231"/>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5.经营收入0万元，为事业单位在业务活动之外开展非独立核算经营活动取得的收入。较202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年度决算数增加（减少）0万元，增长（下降）0</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9525" b="15875"/>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，主要原因是本单位没有经营收入。</w:t>
      </w:r>
    </w:p>
    <w:p w14:paraId="64742AB0">
      <w:pPr>
        <w:pStyle w:val="11"/>
        <w:tabs>
          <w:tab w:val="left" w:pos="1066"/>
        </w:tabs>
        <w:spacing w:line="328" w:lineRule="auto"/>
        <w:ind w:left="4" w:right="313" w:firstLine="739" w:firstLineChars="231"/>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6.其他收入</w:t>
      </w:r>
      <w:r>
        <w:rPr>
          <w:rFonts w:hint="eastAsia" w:ascii="仿宋_GB2312" w:hAnsi="Times New Roman" w:eastAsia="仿宋_GB2312" w:cs="Times New Roman"/>
          <w:kern w:val="2"/>
          <w:sz w:val="32"/>
          <w:szCs w:val="32"/>
          <w:lang w:val="en-US" w:eastAsia="zh-CN" w:bidi="ar-SA"/>
        </w:rPr>
        <w:t>62.19</w:t>
      </w:r>
      <w:r>
        <w:rPr>
          <w:rFonts w:hint="eastAsia" w:ascii="仿宋_GB2312" w:hAnsi="Times New Roman" w:eastAsia="仿宋_GB2312" w:cs="Times New Roman"/>
          <w:kern w:val="2"/>
          <w:sz w:val="32"/>
          <w:szCs w:val="32"/>
          <w:lang w:val="en-US" w:bidi="ar-SA"/>
        </w:rPr>
        <w:t>万元，为预算单位在“财政拨款收入”“事业收入”“经营收入”之外取得的收入。较202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年度决算数减少</w:t>
      </w:r>
      <w:r>
        <w:rPr>
          <w:rFonts w:hint="eastAsia" w:ascii="仿宋_GB2312" w:hAnsi="Times New Roman" w:eastAsia="仿宋_GB2312" w:cs="Times New Roman"/>
          <w:kern w:val="2"/>
          <w:sz w:val="32"/>
          <w:szCs w:val="32"/>
          <w:lang w:val="en-US" w:eastAsia="zh-CN" w:bidi="ar-SA"/>
        </w:rPr>
        <w:t>10.20</w:t>
      </w:r>
      <w:r>
        <w:rPr>
          <w:rFonts w:hint="eastAsia" w:ascii="仿宋_GB2312" w:hAnsi="Times New Roman" w:eastAsia="仿宋_GB2312" w:cs="Times New Roman"/>
          <w:kern w:val="2"/>
          <w:sz w:val="32"/>
          <w:szCs w:val="32"/>
          <w:lang w:val="en-US" w:bidi="ar-SA"/>
        </w:rPr>
        <w:t>万元，下降</w:t>
      </w:r>
      <w:r>
        <w:rPr>
          <w:rFonts w:hint="eastAsia" w:ascii="仿宋_GB2312" w:hAnsi="Times New Roman" w:eastAsia="仿宋_GB2312" w:cs="Times New Roman"/>
          <w:kern w:val="2"/>
          <w:sz w:val="32"/>
          <w:szCs w:val="32"/>
          <w:lang w:val="en-US" w:eastAsia="zh-CN" w:bidi="ar-SA"/>
        </w:rPr>
        <w:t>14.09</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w:t>
      </w:r>
      <w:r>
        <w:rPr>
          <w:rFonts w:hint="eastAsia" w:ascii="仿宋_GB2312" w:hAnsi="仿宋" w:eastAsia="仿宋_GB2312" w:cs="Times New Roman"/>
          <w:sz w:val="32"/>
          <w:szCs w:val="32"/>
          <w:lang w:val="en-US" w:eastAsia="zh-CN"/>
        </w:rPr>
        <w:t>学校调整发展策略，对外出租收入减少</w:t>
      </w:r>
    </w:p>
    <w:p w14:paraId="21A625A7">
      <w:pPr>
        <w:pStyle w:val="11"/>
        <w:tabs>
          <w:tab w:val="left" w:pos="1066"/>
        </w:tabs>
        <w:spacing w:line="328" w:lineRule="auto"/>
        <w:ind w:left="4" w:right="318" w:firstLine="739" w:firstLineChars="231"/>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val="en-US" w:bidi="ar-SA"/>
        </w:rPr>
        <w:t>7.</w:t>
      </w:r>
      <w:r>
        <w:rPr>
          <w:rFonts w:hint="eastAsia" w:ascii="仿宋_GB2312" w:hAnsi="Times New Roman" w:eastAsia="仿宋_GB2312" w:cs="Times New Roman"/>
          <w:kern w:val="2"/>
          <w:sz w:val="32"/>
          <w:szCs w:val="32"/>
          <w:lang w:bidi="ar-SA"/>
        </w:rPr>
        <w:t>使用非财政拨款结余</w:t>
      </w:r>
      <w:r>
        <w:rPr>
          <w:rFonts w:hint="eastAsia" w:ascii="仿宋_GB2312" w:hAnsi="Times New Roman" w:eastAsia="仿宋_GB2312" w:cs="Times New Roman"/>
          <w:kern w:val="2"/>
          <w:sz w:val="32"/>
          <w:szCs w:val="32"/>
          <w:lang w:val="en-US" w:eastAsia="zh-CN" w:bidi="ar-SA"/>
        </w:rPr>
        <w:t>0</w:t>
      </w:r>
      <w:r>
        <w:rPr>
          <w:rFonts w:hint="eastAsia" w:ascii="仿宋_GB2312" w:hAnsi="Times New Roman" w:eastAsia="仿宋_GB2312" w:cs="Times New Roman"/>
          <w:kern w:val="2"/>
          <w:sz w:val="32"/>
          <w:szCs w:val="32"/>
          <w:lang w:bidi="ar-SA"/>
        </w:rPr>
        <w:t>万元</w:t>
      </w:r>
      <w:r>
        <w:rPr>
          <w:rFonts w:hint="eastAsia" w:ascii="仿宋_GB2312" w:hAnsi="Times New Roman" w:eastAsia="仿宋_GB2312" w:cs="Times New Roman"/>
          <w:kern w:val="2"/>
          <w:sz w:val="32"/>
          <w:szCs w:val="32"/>
          <w:lang w:val="en-US" w:bidi="ar-SA"/>
        </w:rPr>
        <w:t>.</w:t>
      </w:r>
      <w:r>
        <w:rPr>
          <w:rFonts w:hint="eastAsia" w:ascii="仿宋_GB2312" w:hAnsi="Times New Roman" w:eastAsia="仿宋_GB2312" w:cs="Times New Roman"/>
          <w:kern w:val="2"/>
          <w:sz w:val="32"/>
          <w:szCs w:val="32"/>
          <w:lang w:bidi="ar-SA"/>
        </w:rPr>
        <w:t>主要是所属事业单位在当年的“财政拨款收入”“事业收入”“经营收入” 及“其他收入”不能保证其支出的情况下，使用以前年度积累的</w:t>
      </w:r>
      <w:r>
        <w:rPr>
          <w:rFonts w:hint="eastAsia" w:ascii="仿宋_GB2312" w:eastAsia="仿宋_GB2312" w:cs="仿宋_GB2312"/>
          <w:sz w:val="32"/>
          <w:szCs w:val="32"/>
        </w:rPr>
        <w:t>非财政拨款结余弥补本年度收支缺口的资金</w:t>
      </w:r>
      <w:r>
        <w:rPr>
          <w:rFonts w:hint="eastAsia" w:ascii="仿宋_GB2312" w:hAnsi="Times New Roman" w:eastAsia="仿宋_GB2312" w:cs="Times New Roman"/>
          <w:kern w:val="2"/>
          <w:sz w:val="32"/>
          <w:szCs w:val="32"/>
          <w:lang w:bidi="ar-SA"/>
        </w:rPr>
        <w:t>。较20</w:t>
      </w:r>
      <w:r>
        <w:rPr>
          <w:rFonts w:hint="eastAsia" w:ascii="仿宋_GB2312" w:hAnsi="Times New Roman" w:eastAsia="仿宋_GB2312" w:cs="Times New Roman"/>
          <w:kern w:val="2"/>
          <w:sz w:val="32"/>
          <w:szCs w:val="32"/>
          <w:lang w:val="en-US" w:bidi="ar-SA"/>
        </w:rPr>
        <w:t>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bidi="ar-SA"/>
        </w:rPr>
        <w:t>年度决算数</w:t>
      </w:r>
      <w:r>
        <w:rPr>
          <w:rFonts w:hint="eastAsia" w:ascii="仿宋_GB2312" w:hAnsi="Times New Roman" w:eastAsia="仿宋_GB2312" w:cs="Times New Roman"/>
          <w:kern w:val="2"/>
          <w:sz w:val="32"/>
          <w:szCs w:val="32"/>
          <w:lang w:val="en-US" w:eastAsia="zh-CN" w:bidi="ar-SA"/>
        </w:rPr>
        <w:t>减少1.10</w:t>
      </w:r>
      <w:r>
        <w:rPr>
          <w:rFonts w:hint="eastAsia" w:ascii="仿宋_GB2312" w:hAnsi="Times New Roman" w:eastAsia="仿宋_GB2312" w:cs="Times New Roman"/>
          <w:kern w:val="2"/>
          <w:sz w:val="32"/>
          <w:szCs w:val="32"/>
          <w:lang w:bidi="ar-SA"/>
        </w:rPr>
        <w:t>万元，</w:t>
      </w:r>
      <w:r>
        <w:rPr>
          <w:rFonts w:hint="eastAsia" w:ascii="仿宋_GB2312" w:hAnsi="Times New Roman" w:eastAsia="仿宋_GB2312" w:cs="Times New Roman"/>
          <w:kern w:val="2"/>
          <w:sz w:val="32"/>
          <w:szCs w:val="32"/>
          <w:lang w:val="en-US" w:eastAsia="zh-CN" w:bidi="ar-SA"/>
        </w:rPr>
        <w:t>下降100</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bidi="ar-SA"/>
        </w:rPr>
        <w:t>，主要原因是</w:t>
      </w:r>
      <w:r>
        <w:rPr>
          <w:rFonts w:hint="eastAsia" w:ascii="仿宋_GB2312" w:hAnsi="Times New Roman" w:eastAsia="仿宋_GB2312" w:cs="Times New Roman"/>
          <w:kern w:val="2"/>
          <w:sz w:val="32"/>
          <w:szCs w:val="32"/>
          <w:lang w:val="en-US" w:eastAsia="zh-CN" w:bidi="ar-SA"/>
        </w:rPr>
        <w:t>优化人员结构，压减非财政拨款支出</w:t>
      </w:r>
      <w:r>
        <w:rPr>
          <w:rFonts w:hint="eastAsia" w:ascii="仿宋_GB2312" w:eastAsia="仿宋_GB2312" w:cs="仿宋_GB2312"/>
          <w:sz w:val="32"/>
          <w:szCs w:val="32"/>
        </w:rPr>
        <w:t>。</w:t>
      </w:r>
    </w:p>
    <w:p w14:paraId="7FE753AD">
      <w:pPr>
        <w:pStyle w:val="11"/>
        <w:tabs>
          <w:tab w:val="left" w:pos="1066"/>
        </w:tabs>
        <w:spacing w:before="152" w:line="326" w:lineRule="auto"/>
        <w:ind w:left="4" w:right="316" w:firstLine="777" w:firstLineChars="243"/>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8.上年结转和结余</w:t>
      </w:r>
      <w:r>
        <w:rPr>
          <w:rFonts w:hint="eastAsia" w:ascii="仿宋_GB2312" w:hAnsi="Times New Roman" w:eastAsia="仿宋_GB2312" w:cs="Times New Roman"/>
          <w:kern w:val="2"/>
          <w:sz w:val="32"/>
          <w:szCs w:val="32"/>
          <w:lang w:val="en-US" w:eastAsia="zh-CN" w:bidi="ar-SA"/>
        </w:rPr>
        <w:t>1871.40</w:t>
      </w:r>
      <w:r>
        <w:rPr>
          <w:rFonts w:hint="eastAsia" w:ascii="仿宋_GB2312" w:hAnsi="Times New Roman" w:eastAsia="仿宋_GB2312" w:cs="Times New Roman"/>
          <w:kern w:val="2"/>
          <w:sz w:val="32"/>
          <w:szCs w:val="32"/>
          <w:lang w:val="en-US" w:bidi="ar-SA"/>
        </w:rPr>
        <w:t>万元，为以前年度支出预算因客观条件变化未执行完毕、结转到本年度按有关规定继续使用的资金。较202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年度决算数增加</w:t>
      </w:r>
      <w:r>
        <w:rPr>
          <w:rFonts w:hint="eastAsia" w:ascii="仿宋_GB2312" w:hAnsi="Times New Roman" w:eastAsia="仿宋_GB2312" w:cs="Times New Roman"/>
          <w:kern w:val="2"/>
          <w:sz w:val="32"/>
          <w:szCs w:val="32"/>
          <w:lang w:val="en-US" w:eastAsia="zh-CN" w:bidi="ar-SA"/>
        </w:rPr>
        <w:t>1857.99</w:t>
      </w:r>
      <w:r>
        <w:rPr>
          <w:rFonts w:hint="eastAsia" w:ascii="仿宋_GB2312" w:hAnsi="Times New Roman" w:eastAsia="仿宋_GB2312" w:cs="Times New Roman"/>
          <w:kern w:val="2"/>
          <w:sz w:val="32"/>
          <w:szCs w:val="32"/>
          <w:lang w:val="en-US" w:bidi="ar-SA"/>
        </w:rPr>
        <w:t>万元，增长</w:t>
      </w:r>
      <w:r>
        <w:rPr>
          <w:rFonts w:hint="eastAsia" w:ascii="仿宋_GB2312" w:hAnsi="Times New Roman" w:eastAsia="仿宋_GB2312" w:cs="Times New Roman"/>
          <w:kern w:val="2"/>
          <w:sz w:val="32"/>
          <w:szCs w:val="32"/>
          <w:lang w:val="en-US" w:eastAsia="zh-CN" w:bidi="ar-SA"/>
        </w:rPr>
        <w:t>138.55</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，增加的主要原因是</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bidi="ar-SA"/>
        </w:rPr>
        <w:t>2023年现代职业教育质量提升计划</w:t>
      </w:r>
      <w:r>
        <w:rPr>
          <w:rFonts w:hint="eastAsia" w:ascii="仿宋_GB2312" w:hAnsi="Times New Roman" w:eastAsia="仿宋_GB2312" w:cs="Times New Roman"/>
          <w:kern w:val="2"/>
          <w:sz w:val="32"/>
          <w:szCs w:val="32"/>
          <w:lang w:val="en-US" w:eastAsia="zh-CN" w:bidi="ar-SA"/>
        </w:rPr>
        <w:t>”专项资金在执行过程中因客观条件变化未执行完毕，</w:t>
      </w:r>
      <w:r>
        <w:rPr>
          <w:rFonts w:hint="eastAsia" w:ascii="仿宋_GB2312" w:hAnsi="Times New Roman" w:eastAsia="仿宋_GB2312" w:cs="Times New Roman"/>
          <w:kern w:val="2"/>
          <w:sz w:val="32"/>
          <w:szCs w:val="32"/>
          <w:lang w:val="en-US" w:bidi="ar-SA"/>
        </w:rPr>
        <w:t>造成项目资金结转。</w:t>
      </w:r>
    </w:p>
    <w:p w14:paraId="1BD01015">
      <w:pPr>
        <w:pStyle w:val="4"/>
        <w:spacing w:before="7" w:line="328" w:lineRule="auto"/>
        <w:ind w:right="312" w:firstLine="626"/>
        <w:jc w:val="both"/>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（二）本单位202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val="en-US" w:bidi="ar-SA"/>
        </w:rPr>
        <w:t>年度总支出</w:t>
      </w:r>
      <w:r>
        <w:rPr>
          <w:rFonts w:hint="eastAsia" w:ascii="仿宋_GB2312" w:hAnsi="Times New Roman" w:eastAsia="仿宋_GB2312" w:cs="Times New Roman"/>
          <w:kern w:val="2"/>
          <w:lang w:val="en-US" w:eastAsia="zh-CN" w:bidi="ar-SA"/>
        </w:rPr>
        <w:t>5090.97</w:t>
      </w:r>
      <w:r>
        <w:rPr>
          <w:rFonts w:hint="eastAsia" w:ascii="仿宋_GB2312" w:hAnsi="Times New Roman" w:eastAsia="仿宋_GB2312" w:cs="Times New Roman"/>
          <w:kern w:val="2"/>
          <w:lang w:val="en-US" w:bidi="ar-SA"/>
        </w:rPr>
        <w:t>万元，其中本年支出</w:t>
      </w:r>
      <w:r>
        <w:rPr>
          <w:rFonts w:hint="eastAsia" w:ascii="仿宋_GB2312" w:hAnsi="Times New Roman" w:eastAsia="仿宋_GB2312" w:cs="Times New Roman"/>
          <w:kern w:val="2"/>
          <w:lang w:val="en-US" w:eastAsia="zh-CN" w:bidi="ar-SA"/>
        </w:rPr>
        <w:t>5074.88</w:t>
      </w:r>
      <w:r>
        <w:rPr>
          <w:rFonts w:hint="eastAsia" w:ascii="仿宋_GB2312" w:hAnsi="Times New Roman" w:eastAsia="仿宋_GB2312" w:cs="Times New Roman"/>
          <w:kern w:val="2"/>
          <w:lang w:val="en-US" w:bidi="ar-SA"/>
        </w:rPr>
        <w:t>万元, 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lang w:val="en-US" w:eastAsia="zh-CN" w:bidi="ar-SA"/>
        </w:rPr>
        <w:t>760.72</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17.63</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bidi="ar-SA"/>
        </w:rPr>
        <w:drawing>
          <wp:inline distT="0" distB="0" distL="0" distR="0">
            <wp:extent cx="85725" cy="15557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。支出具体情况如下：</w:t>
      </w:r>
    </w:p>
    <w:p w14:paraId="69FDCCB0">
      <w:pPr>
        <w:pStyle w:val="4"/>
        <w:spacing w:line="328" w:lineRule="auto"/>
        <w:ind w:right="151" w:firstLine="640" w:firstLineChars="20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1.教育支出（类）</w:t>
      </w:r>
      <w:r>
        <w:rPr>
          <w:rFonts w:hint="eastAsia" w:ascii="仿宋_GB2312" w:hAnsi="Times New Roman" w:eastAsia="仿宋_GB2312" w:cs="Times New Roman"/>
          <w:kern w:val="2"/>
          <w:lang w:val="en-US" w:eastAsia="zh-CN" w:bidi="ar-SA"/>
        </w:rPr>
        <w:t>4791.74</w:t>
      </w:r>
      <w:r>
        <w:rPr>
          <w:rFonts w:hint="eastAsia" w:ascii="仿宋_GB2312" w:hAnsi="Times New Roman" w:eastAsia="仿宋_GB2312" w:cs="Times New Roman"/>
          <w:kern w:val="2"/>
          <w:lang w:val="en-US" w:bidi="ar-SA"/>
        </w:rPr>
        <w:t>万元，主要用于本单位技校教育支出。较202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highlight w:val="none"/>
          <w:lang w:val="en-US" w:eastAsia="zh-CN" w:bidi="ar-SA"/>
        </w:rPr>
        <w:t>869.38</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22.16</w:t>
      </w:r>
      <w:r>
        <w:rPr>
          <w:rFonts w:hint="eastAsia" w:ascii="仿宋_GB2312" w:hAnsi="Times New Roman" w:eastAsia="仿宋_GB2312" w:cs="Times New Roman"/>
          <w:kern w:val="2"/>
          <w:lang w:val="en-US" w:bidi="ar-SA"/>
        </w:rPr>
        <w:drawing>
          <wp:inline distT="0" distB="0" distL="0" distR="0">
            <wp:extent cx="85725" cy="15557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，主要原因是</w:t>
      </w:r>
      <w:r>
        <w:rPr>
          <w:rFonts w:hint="eastAsia" w:ascii="仿宋_GB2312" w:hAnsi="Times New Roman" w:eastAsia="仿宋_GB2312" w:cs="Times New Roman"/>
          <w:kern w:val="2"/>
          <w:lang w:val="en-US" w:eastAsia="zh-CN" w:bidi="ar-SA"/>
        </w:rPr>
        <w:t>使用2023年度列支结转2024年度资金</w:t>
      </w:r>
      <w:r>
        <w:rPr>
          <w:rFonts w:hint="eastAsia" w:ascii="仿宋_GB2312" w:hAnsi="Times New Roman" w:eastAsia="仿宋_GB2312" w:cs="Times New Roman"/>
          <w:kern w:val="2"/>
          <w:lang w:val="en-US" w:bidi="ar-SA"/>
        </w:rPr>
        <w:t>，相应技校教育支出增加。</w:t>
      </w:r>
    </w:p>
    <w:p w14:paraId="572B075F">
      <w:pPr>
        <w:pStyle w:val="11"/>
        <w:tabs>
          <w:tab w:val="left" w:pos="1066"/>
        </w:tabs>
        <w:spacing w:line="328" w:lineRule="auto"/>
        <w:ind w:left="224" w:right="319" w:firstLine="518" w:firstLineChars="162"/>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2.社会保障和就业支出（类）</w:t>
      </w:r>
      <w:r>
        <w:rPr>
          <w:rFonts w:hint="eastAsia" w:ascii="仿宋_GB2312" w:hAnsi="Times New Roman" w:eastAsia="仿宋_GB2312" w:cs="Times New Roman"/>
          <w:kern w:val="2"/>
          <w:sz w:val="32"/>
          <w:szCs w:val="32"/>
          <w:lang w:val="en-US" w:eastAsia="zh-CN" w:bidi="ar-SA"/>
        </w:rPr>
        <w:t>238.21</w:t>
      </w:r>
      <w:r>
        <w:rPr>
          <w:rFonts w:hint="eastAsia" w:ascii="仿宋_GB2312" w:hAnsi="Times New Roman" w:eastAsia="仿宋_GB2312" w:cs="Times New Roman"/>
          <w:kern w:val="2"/>
          <w:sz w:val="32"/>
          <w:szCs w:val="32"/>
          <w:lang w:val="en-US" w:bidi="ar-SA"/>
        </w:rPr>
        <w:t>万元，主要用于机关事业单位基本养老保险等社会保障缴费支出</w:t>
      </w:r>
      <w:r>
        <w:rPr>
          <w:rFonts w:hint="eastAsia" w:ascii="仿宋_GB2312" w:hAnsi="Times New Roman" w:eastAsia="仿宋_GB2312" w:cs="Times New Roman"/>
          <w:kern w:val="2"/>
          <w:sz w:val="32"/>
          <w:szCs w:val="32"/>
          <w:lang w:val="en-US" w:eastAsia="zh-CN" w:bidi="ar-SA"/>
        </w:rPr>
        <w:t>以及自治区级世界技能大赛项目集训基地项目支出</w:t>
      </w:r>
      <w:r>
        <w:rPr>
          <w:rFonts w:hint="eastAsia" w:ascii="仿宋_GB2312" w:hAnsi="Times New Roman" w:eastAsia="仿宋_GB2312" w:cs="Times New Roman"/>
          <w:kern w:val="2"/>
          <w:sz w:val="32"/>
          <w:szCs w:val="32"/>
          <w:lang w:val="en-US" w:bidi="ar-SA"/>
        </w:rPr>
        <w:t>。较202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减少107.35</w:t>
      </w:r>
      <w:r>
        <w:rPr>
          <w:rFonts w:hint="eastAsia" w:ascii="仿宋_GB2312" w:hAnsi="Times New Roman" w:eastAsia="仿宋_GB2312" w:cs="Times New Roman"/>
          <w:kern w:val="2"/>
          <w:sz w:val="32"/>
          <w:szCs w:val="32"/>
          <w:lang w:val="en-US" w:bidi="ar-SA"/>
        </w:rPr>
        <w:t>万元，</w:t>
      </w:r>
      <w:r>
        <w:rPr>
          <w:rFonts w:hint="eastAsia" w:ascii="仿宋_GB2312" w:hAnsi="Times New Roman" w:eastAsia="仿宋_GB2312" w:cs="Times New Roman"/>
          <w:kern w:val="2"/>
          <w:sz w:val="32"/>
          <w:szCs w:val="32"/>
          <w:lang w:val="en-US" w:eastAsia="zh-CN" w:bidi="ar-SA"/>
        </w:rPr>
        <w:t>下降31.07</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9525" b="15875"/>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w:t>
      </w:r>
      <w:r>
        <w:rPr>
          <w:rFonts w:hint="eastAsia" w:ascii="仿宋_GB2312" w:hAnsi="仿宋" w:eastAsia="仿宋_GB2312"/>
          <w:sz w:val="32"/>
          <w:szCs w:val="32"/>
          <w:lang w:val="en-US" w:eastAsia="zh-CN"/>
        </w:rPr>
        <w:t>年中追加社会保障和就业支出项目资金减少，相应项目支出减少</w:t>
      </w:r>
      <w:r>
        <w:rPr>
          <w:rFonts w:hint="eastAsia" w:ascii="仿宋_GB2312" w:hAnsi="Times New Roman" w:eastAsia="仿宋_GB2312" w:cs="Times New Roman"/>
          <w:kern w:val="2"/>
          <w:sz w:val="32"/>
          <w:szCs w:val="32"/>
          <w:lang w:val="en-US" w:bidi="ar-SA"/>
        </w:rPr>
        <w:t>。</w:t>
      </w:r>
    </w:p>
    <w:p w14:paraId="71260332">
      <w:pPr>
        <w:pStyle w:val="11"/>
        <w:tabs>
          <w:tab w:val="left" w:pos="1066"/>
        </w:tabs>
        <w:spacing w:before="138" w:line="328" w:lineRule="auto"/>
        <w:ind w:left="224" w:right="321" w:firstLine="518" w:firstLineChars="162"/>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3.卫生健康支出（类）17.</w:t>
      </w:r>
      <w:r>
        <w:rPr>
          <w:rFonts w:hint="eastAsia" w:ascii="仿宋_GB2312" w:hAnsi="Times New Roman" w:eastAsia="仿宋_GB2312" w:cs="Times New Roman"/>
          <w:kern w:val="2"/>
          <w:sz w:val="32"/>
          <w:szCs w:val="32"/>
          <w:lang w:val="en-US" w:eastAsia="zh-CN" w:bidi="ar-SA"/>
        </w:rPr>
        <w:t>14</w:t>
      </w:r>
      <w:r>
        <w:rPr>
          <w:rFonts w:hint="eastAsia" w:ascii="仿宋_GB2312" w:hAnsi="Times New Roman" w:eastAsia="仿宋_GB2312" w:cs="Times New Roman"/>
          <w:kern w:val="2"/>
          <w:sz w:val="32"/>
          <w:szCs w:val="32"/>
          <w:lang w:val="en-US" w:bidi="ar-SA"/>
        </w:rPr>
        <w:t>万元，主要用于职工医疗保障方面的支出。较20</w:t>
      </w:r>
      <w:r>
        <w:rPr>
          <w:rFonts w:hint="eastAsia" w:ascii="仿宋_GB2312" w:hAnsi="Times New Roman" w:eastAsia="仿宋_GB2312" w:cs="Times New Roman"/>
          <w:kern w:val="2"/>
          <w:sz w:val="32"/>
          <w:szCs w:val="32"/>
          <w:lang w:val="en-US" w:eastAsia="zh-CN" w:bidi="ar-SA"/>
        </w:rPr>
        <w:t>23</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减少0.50</w:t>
      </w:r>
      <w:r>
        <w:rPr>
          <w:rFonts w:hint="eastAsia" w:ascii="仿宋_GB2312" w:hAnsi="Times New Roman" w:eastAsia="仿宋_GB2312" w:cs="Times New Roman"/>
          <w:kern w:val="2"/>
          <w:sz w:val="32"/>
          <w:szCs w:val="32"/>
          <w:lang w:val="en-US" w:bidi="ar-SA"/>
        </w:rPr>
        <w:t>万元，</w:t>
      </w:r>
      <w:r>
        <w:rPr>
          <w:rFonts w:hint="eastAsia" w:ascii="仿宋_GB2312" w:hAnsi="Times New Roman" w:eastAsia="仿宋_GB2312" w:cs="Times New Roman"/>
          <w:kern w:val="2"/>
          <w:sz w:val="32"/>
          <w:szCs w:val="32"/>
          <w:lang w:val="en-US" w:eastAsia="zh-CN" w:bidi="ar-SA"/>
        </w:rPr>
        <w:t>下降2.83</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。主要原因是由于在职在编人员</w:t>
      </w:r>
      <w:r>
        <w:rPr>
          <w:rFonts w:hint="eastAsia" w:ascii="仿宋_GB2312" w:hAnsi="Times New Roman" w:eastAsia="仿宋_GB2312" w:cs="Times New Roman"/>
          <w:kern w:val="2"/>
          <w:sz w:val="32"/>
          <w:szCs w:val="32"/>
          <w:lang w:val="en-US" w:eastAsia="zh-CN" w:bidi="ar-SA"/>
        </w:rPr>
        <w:t>工资结构变化</w:t>
      </w:r>
      <w:r>
        <w:rPr>
          <w:rFonts w:hint="eastAsia" w:ascii="仿宋_GB2312" w:hAnsi="Times New Roman" w:eastAsia="仿宋_GB2312" w:cs="Times New Roman"/>
          <w:kern w:val="2"/>
          <w:sz w:val="32"/>
          <w:szCs w:val="32"/>
          <w:lang w:val="en-US" w:bidi="ar-SA"/>
        </w:rPr>
        <w:t>，</w:t>
      </w:r>
      <w:r>
        <w:rPr>
          <w:rFonts w:hint="eastAsia" w:ascii="仿宋_GB2312" w:hAnsi="Times New Roman" w:eastAsia="仿宋_GB2312" w:cs="Times New Roman"/>
          <w:kern w:val="2"/>
          <w:sz w:val="32"/>
          <w:szCs w:val="32"/>
          <w:lang w:val="en-US" w:eastAsia="zh-CN" w:bidi="ar-SA"/>
        </w:rPr>
        <w:t>计提职工医疗保障支出减少，</w:t>
      </w:r>
      <w:r>
        <w:rPr>
          <w:rFonts w:hint="eastAsia" w:ascii="仿宋_GB2312" w:hAnsi="Times New Roman" w:eastAsia="仿宋_GB2312" w:cs="Times New Roman"/>
          <w:kern w:val="2"/>
          <w:sz w:val="32"/>
          <w:szCs w:val="32"/>
          <w:lang w:val="en-US" w:bidi="ar-SA"/>
        </w:rPr>
        <w:t>相应卫生健康支出类的功能支出</w:t>
      </w:r>
      <w:r>
        <w:rPr>
          <w:rFonts w:hint="eastAsia" w:ascii="仿宋_GB2312" w:hAnsi="Times New Roman" w:eastAsia="仿宋_GB2312" w:cs="Times New Roman"/>
          <w:kern w:val="2"/>
          <w:sz w:val="32"/>
          <w:szCs w:val="32"/>
          <w:lang w:val="en-US" w:eastAsia="zh-CN" w:bidi="ar-SA"/>
        </w:rPr>
        <w:t>减少</w:t>
      </w:r>
      <w:r>
        <w:rPr>
          <w:rFonts w:hint="eastAsia" w:ascii="仿宋_GB2312" w:hAnsi="Times New Roman" w:eastAsia="仿宋_GB2312" w:cs="Times New Roman"/>
          <w:kern w:val="2"/>
          <w:sz w:val="32"/>
          <w:szCs w:val="32"/>
          <w:lang w:val="en-US" w:bidi="ar-SA"/>
        </w:rPr>
        <w:t>。</w:t>
      </w:r>
    </w:p>
    <w:p w14:paraId="52D7BB7E">
      <w:pPr>
        <w:pStyle w:val="11"/>
        <w:numPr>
          <w:ilvl w:val="0"/>
          <w:numId w:val="1"/>
        </w:numPr>
        <w:tabs>
          <w:tab w:val="left" w:pos="1066"/>
        </w:tabs>
        <w:spacing w:before="155" w:line="326" w:lineRule="auto"/>
        <w:ind w:right="311" w:firstLine="626"/>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住房保障支出（类）</w:t>
      </w:r>
      <w:r>
        <w:rPr>
          <w:rFonts w:hint="eastAsia" w:ascii="仿宋_GB2312" w:hAnsi="Times New Roman" w:eastAsia="仿宋_GB2312" w:cs="Times New Roman"/>
          <w:kern w:val="2"/>
          <w:sz w:val="32"/>
          <w:szCs w:val="32"/>
          <w:lang w:val="en-US" w:eastAsia="zh-CN" w:bidi="ar-SA"/>
        </w:rPr>
        <w:t>27.79</w:t>
      </w:r>
      <w:r>
        <w:rPr>
          <w:rFonts w:hint="eastAsia" w:ascii="仿宋_GB2312" w:hAnsi="Times New Roman" w:eastAsia="仿宋_GB2312" w:cs="Times New Roman"/>
          <w:kern w:val="2"/>
          <w:sz w:val="32"/>
          <w:szCs w:val="32"/>
          <w:lang w:val="en-US" w:bidi="ar-SA"/>
        </w:rPr>
        <w:t>万元，主要用于按照国家政策规定向职工发放的住房公积金等住房改革方面的支出。较202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减少0.81</w:t>
      </w:r>
      <w:r>
        <w:rPr>
          <w:rFonts w:hint="eastAsia" w:ascii="仿宋_GB2312" w:hAnsi="Times New Roman" w:eastAsia="仿宋_GB2312" w:cs="Times New Roman"/>
          <w:kern w:val="2"/>
          <w:sz w:val="32"/>
          <w:szCs w:val="32"/>
          <w:lang w:val="en-US" w:bidi="ar-SA"/>
        </w:rPr>
        <w:t>万元，</w:t>
      </w:r>
      <w:r>
        <w:rPr>
          <w:rFonts w:hint="eastAsia" w:ascii="仿宋_GB2312" w:hAnsi="Times New Roman" w:eastAsia="仿宋_GB2312" w:cs="Times New Roman"/>
          <w:kern w:val="2"/>
          <w:sz w:val="32"/>
          <w:szCs w:val="32"/>
          <w:lang w:val="en-US" w:eastAsia="zh-CN" w:bidi="ar-SA"/>
        </w:rPr>
        <w:t>下降2.83</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。主要原因是由于在职在编人</w:t>
      </w:r>
      <w:r>
        <w:rPr>
          <w:rFonts w:hint="eastAsia" w:ascii="仿宋_GB2312" w:hAnsi="Times New Roman" w:eastAsia="仿宋_GB2312" w:cs="Times New Roman"/>
          <w:kern w:val="2"/>
          <w:sz w:val="32"/>
          <w:szCs w:val="32"/>
          <w:lang w:val="en-US" w:eastAsia="zh-CN" w:bidi="ar-SA"/>
        </w:rPr>
        <w:t>员工资结构变化</w:t>
      </w:r>
      <w:r>
        <w:rPr>
          <w:rFonts w:hint="eastAsia" w:ascii="仿宋_GB2312" w:hAnsi="Times New Roman" w:eastAsia="仿宋_GB2312" w:cs="Times New Roman"/>
          <w:kern w:val="2"/>
          <w:sz w:val="32"/>
          <w:szCs w:val="32"/>
          <w:lang w:val="en-US" w:bidi="ar-SA"/>
        </w:rPr>
        <w:t>，</w:t>
      </w:r>
      <w:r>
        <w:rPr>
          <w:rFonts w:hint="eastAsia" w:ascii="仿宋_GB2312" w:hAnsi="Times New Roman" w:eastAsia="仿宋_GB2312" w:cs="Times New Roman"/>
          <w:kern w:val="2"/>
          <w:sz w:val="32"/>
          <w:szCs w:val="32"/>
          <w:lang w:val="en-US" w:eastAsia="zh-CN" w:bidi="ar-SA"/>
        </w:rPr>
        <w:t>计提住房保障支出减少，</w:t>
      </w:r>
      <w:r>
        <w:rPr>
          <w:rFonts w:hint="eastAsia" w:ascii="仿宋_GB2312" w:hAnsi="Times New Roman" w:eastAsia="仿宋_GB2312" w:cs="Times New Roman"/>
          <w:kern w:val="2"/>
          <w:sz w:val="32"/>
          <w:szCs w:val="32"/>
          <w:lang w:val="en-US" w:bidi="ar-SA"/>
        </w:rPr>
        <w:t>相应住房保障支出类功能支出</w:t>
      </w:r>
      <w:r>
        <w:rPr>
          <w:rFonts w:hint="eastAsia" w:ascii="仿宋_GB2312" w:hAnsi="Times New Roman" w:eastAsia="仿宋_GB2312" w:cs="Times New Roman"/>
          <w:kern w:val="2"/>
          <w:sz w:val="32"/>
          <w:szCs w:val="32"/>
          <w:lang w:val="en-US" w:eastAsia="zh-CN" w:bidi="ar-SA"/>
        </w:rPr>
        <w:t>减少</w:t>
      </w:r>
      <w:r>
        <w:rPr>
          <w:rFonts w:hint="eastAsia" w:ascii="仿宋_GB2312" w:hAnsi="Times New Roman" w:eastAsia="仿宋_GB2312" w:cs="Times New Roman"/>
          <w:kern w:val="2"/>
          <w:sz w:val="32"/>
          <w:szCs w:val="32"/>
          <w:lang w:val="en-US" w:bidi="ar-SA"/>
        </w:rPr>
        <w:t>。</w:t>
      </w:r>
    </w:p>
    <w:p w14:paraId="513F4898">
      <w:pPr>
        <w:pStyle w:val="11"/>
        <w:numPr>
          <w:ilvl w:val="0"/>
          <w:numId w:val="1"/>
        </w:numPr>
        <w:tabs>
          <w:tab w:val="left" w:pos="1066"/>
        </w:tabs>
        <w:spacing w:before="155" w:line="326" w:lineRule="auto"/>
        <w:ind w:right="311" w:firstLine="626"/>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结余分配</w:t>
      </w:r>
      <w:r>
        <w:rPr>
          <w:rFonts w:hint="eastAsia" w:ascii="仿宋_GB2312" w:hAnsi="Times New Roman" w:eastAsia="仿宋_GB2312" w:cs="Times New Roman"/>
          <w:kern w:val="2"/>
          <w:sz w:val="32"/>
          <w:szCs w:val="32"/>
          <w:lang w:val="en-US" w:eastAsia="zh-CN" w:bidi="ar-SA"/>
        </w:rPr>
        <w:t>6.42</w:t>
      </w:r>
      <w:r>
        <w:rPr>
          <w:rFonts w:hint="eastAsia" w:ascii="仿宋_GB2312" w:hAnsi="Times New Roman" w:eastAsia="仿宋_GB2312" w:cs="Times New Roman"/>
          <w:kern w:val="2"/>
          <w:sz w:val="32"/>
          <w:szCs w:val="32"/>
          <w:lang w:val="en-US" w:bidi="ar-SA"/>
        </w:rPr>
        <w:t>万元，为事业单位按规定提取的专用结余、缴纳所得税和转入非财政拨款结余等。</w:t>
      </w:r>
      <w:r>
        <w:rPr>
          <w:rFonts w:hint="eastAsia" w:ascii="仿宋_GB2312" w:hAnsi="Times New Roman" w:eastAsia="仿宋_GB2312" w:cs="Times New Roman"/>
          <w:kern w:val="2"/>
          <w:sz w:val="32"/>
          <w:szCs w:val="32"/>
          <w:lang w:val="en-US" w:eastAsia="zh-CN" w:bidi="ar-SA"/>
        </w:rPr>
        <w:t>同比</w:t>
      </w:r>
      <w:r>
        <w:rPr>
          <w:rFonts w:hint="eastAsia" w:ascii="仿宋_GB2312" w:hAnsi="Times New Roman" w:eastAsia="仿宋_GB2312" w:cs="Times New Roman"/>
          <w:kern w:val="2"/>
          <w:sz w:val="32"/>
          <w:szCs w:val="32"/>
          <w:lang w:val="en-US" w:bidi="ar-SA"/>
        </w:rPr>
        <w:t>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增加6.42万元，增长100%，主要原因是非财政拨款结余增加造成</w:t>
      </w:r>
      <w:r>
        <w:rPr>
          <w:rFonts w:hint="eastAsia" w:ascii="仿宋_GB2312" w:hAnsi="Times New Roman" w:eastAsia="仿宋_GB2312" w:cs="Times New Roman"/>
          <w:kern w:val="2"/>
          <w:sz w:val="32"/>
          <w:szCs w:val="32"/>
          <w:lang w:val="en-US" w:bidi="ar-SA"/>
        </w:rPr>
        <w:t>。</w:t>
      </w:r>
    </w:p>
    <w:p w14:paraId="2C16D9EE">
      <w:pPr>
        <w:pStyle w:val="11"/>
        <w:tabs>
          <w:tab w:val="left" w:pos="1066"/>
        </w:tabs>
        <w:spacing w:line="328" w:lineRule="auto"/>
        <w:ind w:left="224" w:right="314" w:firstLine="547" w:firstLineChars="171"/>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6.年末结转和结余</w:t>
      </w:r>
      <w:r>
        <w:rPr>
          <w:rFonts w:hint="eastAsia" w:ascii="仿宋_GB2312" w:hAnsi="Times New Roman" w:eastAsia="仿宋_GB2312" w:cs="Times New Roman"/>
          <w:kern w:val="2"/>
          <w:sz w:val="32"/>
          <w:szCs w:val="32"/>
          <w:lang w:val="en-US" w:eastAsia="zh-CN" w:bidi="ar-SA"/>
        </w:rPr>
        <w:t>9.66</w:t>
      </w:r>
      <w:r>
        <w:rPr>
          <w:rFonts w:hint="eastAsia" w:ascii="仿宋_GB2312" w:hAnsi="Times New Roman" w:eastAsia="仿宋_GB2312" w:cs="Times New Roman"/>
          <w:kern w:val="2"/>
          <w:sz w:val="32"/>
          <w:szCs w:val="32"/>
          <w:lang w:val="en-US" w:bidi="ar-SA"/>
        </w:rPr>
        <w:t>万元，为本年度或以前年度预算安排、因客观条件发生变化无法按原计划实施，需要延迟到以后年度按有关规定继续使用的资金。较202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减少1861.74</w:t>
      </w:r>
      <w:r>
        <w:rPr>
          <w:rFonts w:hint="eastAsia" w:ascii="仿宋_GB2312" w:hAnsi="Times New Roman" w:eastAsia="仿宋_GB2312" w:cs="Times New Roman"/>
          <w:kern w:val="2"/>
          <w:sz w:val="32"/>
          <w:szCs w:val="32"/>
          <w:lang w:val="en-US" w:bidi="ar-SA"/>
        </w:rPr>
        <w:t>万元，</w:t>
      </w:r>
      <w:r>
        <w:rPr>
          <w:rFonts w:hint="eastAsia" w:ascii="仿宋_GB2312" w:hAnsi="Times New Roman" w:eastAsia="仿宋_GB2312" w:cs="Times New Roman"/>
          <w:kern w:val="2"/>
          <w:sz w:val="32"/>
          <w:szCs w:val="32"/>
          <w:lang w:val="en-US" w:eastAsia="zh-CN" w:bidi="ar-SA"/>
        </w:rPr>
        <w:t>下降99.48</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eastAsia="zh-CN" w:bidi="ar-SA"/>
        </w:rPr>
        <w:t>，主要原因是积极采取措施，加大结转结余资金年度执行力度</w:t>
      </w:r>
      <w:r>
        <w:rPr>
          <w:rFonts w:hint="eastAsia" w:ascii="仿宋_GB2312" w:hAnsi="Times New Roman" w:eastAsia="仿宋_GB2312" w:cs="Times New Roman"/>
          <w:kern w:val="2"/>
          <w:sz w:val="32"/>
          <w:szCs w:val="32"/>
          <w:lang w:val="en-US" w:bidi="ar-SA"/>
        </w:rPr>
        <w:t>。年末结转结余资金均为财政拨款结转的项目资金，主要原因是</w:t>
      </w:r>
      <w:r>
        <w:rPr>
          <w:rFonts w:hint="eastAsia" w:ascii="仿宋_GB2312" w:hAnsi="Times New Roman" w:eastAsia="仿宋_GB2312" w:cs="Times New Roman"/>
          <w:kern w:val="2"/>
          <w:sz w:val="32"/>
          <w:szCs w:val="32"/>
          <w:lang w:val="en-US" w:eastAsia="zh-CN" w:bidi="ar-SA"/>
        </w:rPr>
        <w:t>年度内</w:t>
      </w:r>
      <w:r>
        <w:rPr>
          <w:rFonts w:hint="eastAsia" w:ascii="仿宋_GB2312" w:hAnsi="仿宋" w:eastAsia="仿宋_GB2312"/>
          <w:sz w:val="32"/>
          <w:szCs w:val="32"/>
          <w:lang w:val="en-US" w:eastAsia="zh-CN"/>
        </w:rPr>
        <w:t>技工院校学生资助资金按资助政策范围发放后仍有结余，</w:t>
      </w:r>
      <w:r>
        <w:rPr>
          <w:rFonts w:hint="eastAsia" w:ascii="仿宋_GB2312" w:hAnsi="Times New Roman" w:eastAsia="仿宋_GB2312" w:cs="Times New Roman"/>
          <w:kern w:val="2"/>
          <w:sz w:val="32"/>
          <w:szCs w:val="32"/>
          <w:lang w:val="en-US" w:bidi="ar-SA"/>
        </w:rPr>
        <w:t>按规定项目资金列支结转，造成项目资金结存形成的年末结转。</w:t>
      </w:r>
    </w:p>
    <w:p w14:paraId="4ACB399A">
      <w:pPr>
        <w:pStyle w:val="4"/>
        <w:spacing w:line="403" w:lineRule="exact"/>
        <w:ind w:left="758"/>
        <w:rPr>
          <w:rFonts w:ascii="黑体" w:eastAsia="黑体"/>
        </w:rPr>
      </w:pPr>
      <w:r>
        <w:rPr>
          <w:rFonts w:hint="eastAsia" w:ascii="黑体" w:eastAsia="黑体"/>
        </w:rPr>
        <w:t>二、20</w:t>
      </w:r>
      <w:r>
        <w:rPr>
          <w:rFonts w:hint="eastAsia" w:ascii="黑体" w:eastAsia="黑体"/>
          <w:lang w:val="en-US"/>
        </w:rPr>
        <w:t>2</w:t>
      </w:r>
      <w:r>
        <w:rPr>
          <w:rFonts w:hint="eastAsia" w:ascii="黑体" w:eastAsia="黑体"/>
          <w:lang w:val="en-US" w:eastAsia="zh-CN"/>
        </w:rPr>
        <w:t>4</w:t>
      </w:r>
      <w:r>
        <w:rPr>
          <w:rFonts w:hint="eastAsia" w:ascii="黑体" w:eastAsia="黑体"/>
        </w:rPr>
        <w:t>年度一般公共预算财政拨款支出决算情况</w:t>
      </w:r>
    </w:p>
    <w:p w14:paraId="1BB2E857">
      <w:pPr>
        <w:pStyle w:val="4"/>
        <w:spacing w:before="131" w:line="328" w:lineRule="auto"/>
        <w:ind w:right="467"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广西新闻出版</w:t>
      </w:r>
      <w:r>
        <w:rPr>
          <w:rFonts w:hint="eastAsia" w:ascii="仿宋_GB2312" w:hAnsi="Times New Roman" w:eastAsia="仿宋_GB2312" w:cs="Times New Roman"/>
          <w:kern w:val="2"/>
          <w:lang w:val="en-US" w:eastAsia="zh-CN" w:bidi="ar-SA"/>
        </w:rPr>
        <w:t>高级</w:t>
      </w:r>
      <w:r>
        <w:rPr>
          <w:rFonts w:hint="eastAsia" w:ascii="仿宋_GB2312" w:hAnsi="Times New Roman" w:eastAsia="仿宋_GB2312" w:cs="Times New Roman"/>
          <w:kern w:val="2"/>
          <w:lang w:val="en-US" w:bidi="ar-SA"/>
        </w:rPr>
        <w:t>技工学校202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val="en-US" w:bidi="ar-SA"/>
        </w:rPr>
        <w:t>年度一般公共预算财政拨款支出</w:t>
      </w:r>
      <w:r>
        <w:rPr>
          <w:rFonts w:hint="eastAsia" w:ascii="仿宋_GB2312" w:hAnsi="Times New Roman" w:eastAsia="仿宋_GB2312" w:cs="Times New Roman"/>
          <w:kern w:val="2"/>
          <w:lang w:val="en-US" w:eastAsia="zh-CN" w:bidi="ar-SA"/>
        </w:rPr>
        <w:t>4528.97</w:t>
      </w:r>
      <w:r>
        <w:rPr>
          <w:rFonts w:hint="eastAsia" w:ascii="仿宋_GB2312" w:hAnsi="Times New Roman" w:eastAsia="仿宋_GB2312" w:cs="Times New Roman"/>
          <w:kern w:val="2"/>
          <w:lang w:val="en-US" w:bidi="ar-SA"/>
        </w:rPr>
        <w:t>万元，较202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lang w:val="en-US" w:eastAsia="zh-CN" w:bidi="ar-SA"/>
        </w:rPr>
        <w:t>774.34</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20.62</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bidi="ar-SA"/>
        </w:rPr>
        <w:drawing>
          <wp:inline distT="0" distB="0" distL="0" distR="0">
            <wp:extent cx="85725" cy="155575"/>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。其中：基本支出</w:t>
      </w:r>
      <w:r>
        <w:rPr>
          <w:rFonts w:hint="eastAsia" w:ascii="仿宋_GB2312" w:hAnsi="Times New Roman" w:eastAsia="仿宋_GB2312" w:cs="Times New Roman"/>
          <w:kern w:val="2"/>
          <w:lang w:val="en-US" w:eastAsia="zh-CN" w:bidi="ar-SA"/>
        </w:rPr>
        <w:t>1020.66</w:t>
      </w:r>
      <w:r>
        <w:rPr>
          <w:rFonts w:hint="eastAsia" w:ascii="仿宋_GB2312" w:hAnsi="Times New Roman" w:eastAsia="仿宋_GB2312" w:cs="Times New Roman"/>
          <w:kern w:val="2"/>
          <w:lang w:val="en-US" w:bidi="ar-SA"/>
        </w:rPr>
        <w:t>万元，项目支出</w:t>
      </w:r>
      <w:r>
        <w:rPr>
          <w:rFonts w:hint="eastAsia" w:ascii="仿宋_GB2312" w:hAnsi="Times New Roman" w:eastAsia="仿宋_GB2312" w:cs="Times New Roman"/>
          <w:kern w:val="2"/>
          <w:lang w:val="en-US" w:eastAsia="zh-CN" w:bidi="ar-SA"/>
        </w:rPr>
        <w:t>3508.31</w:t>
      </w:r>
      <w:r>
        <w:rPr>
          <w:rFonts w:hint="eastAsia" w:ascii="仿宋_GB2312" w:hAnsi="Times New Roman" w:eastAsia="仿宋_GB2312" w:cs="Times New Roman"/>
          <w:kern w:val="2"/>
          <w:lang w:val="en-US" w:bidi="ar-SA"/>
        </w:rPr>
        <w:t>万元。</w:t>
      </w:r>
    </w:p>
    <w:p w14:paraId="1DF193DD">
      <w:pPr>
        <w:pStyle w:val="4"/>
        <w:spacing w:line="328" w:lineRule="auto"/>
        <w:ind w:right="312"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highlight w:val="none"/>
          <w:lang w:val="en-US" w:bidi="ar-SA"/>
        </w:rPr>
        <w:t>广西新闻出版</w:t>
      </w:r>
      <w:r>
        <w:rPr>
          <w:rFonts w:hint="eastAsia" w:ascii="仿宋_GB2312" w:hAnsi="Times New Roman" w:eastAsia="仿宋_GB2312" w:cs="Times New Roman"/>
          <w:kern w:val="2"/>
          <w:highlight w:val="none"/>
          <w:lang w:val="en-US" w:eastAsia="zh-CN" w:bidi="ar-SA"/>
        </w:rPr>
        <w:t>高级</w:t>
      </w:r>
      <w:r>
        <w:rPr>
          <w:rFonts w:hint="eastAsia" w:ascii="仿宋_GB2312" w:hAnsi="Times New Roman" w:eastAsia="仿宋_GB2312" w:cs="Times New Roman"/>
          <w:kern w:val="2"/>
          <w:highlight w:val="none"/>
          <w:lang w:val="en-US" w:bidi="ar-SA"/>
        </w:rPr>
        <w:t>技工学校202</w:t>
      </w:r>
      <w:r>
        <w:rPr>
          <w:rFonts w:hint="eastAsia" w:ascii="仿宋_GB2312" w:hAnsi="Times New Roman" w:eastAsia="仿宋_GB2312" w:cs="Times New Roman"/>
          <w:kern w:val="2"/>
          <w:highlight w:val="none"/>
          <w:lang w:val="en-US" w:eastAsia="zh-CN" w:bidi="ar-SA"/>
        </w:rPr>
        <w:t>4</w:t>
      </w:r>
      <w:r>
        <w:rPr>
          <w:rFonts w:hint="eastAsia" w:ascii="仿宋_GB2312" w:hAnsi="Times New Roman" w:eastAsia="仿宋_GB2312" w:cs="Times New Roman"/>
          <w:kern w:val="2"/>
          <w:highlight w:val="none"/>
          <w:lang w:val="en-US" w:bidi="ar-SA"/>
        </w:rPr>
        <w:t>年度一</w:t>
      </w:r>
      <w:r>
        <w:rPr>
          <w:rFonts w:hint="eastAsia" w:ascii="仿宋_GB2312" w:hAnsi="Times New Roman" w:eastAsia="仿宋_GB2312" w:cs="Times New Roman"/>
          <w:kern w:val="2"/>
          <w:lang w:val="en-US" w:bidi="ar-SA"/>
        </w:rPr>
        <w:t>般公共预算财政拨款支出年初预算为</w:t>
      </w:r>
      <w:r>
        <w:rPr>
          <w:rFonts w:hint="eastAsia" w:ascii="仿宋_GB2312" w:hAnsi="Times New Roman" w:eastAsia="仿宋_GB2312" w:cs="Times New Roman"/>
          <w:kern w:val="2"/>
          <w:lang w:val="en-US" w:eastAsia="zh-CN" w:bidi="ar-SA"/>
        </w:rPr>
        <w:t>2857.78</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4528.97</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158.48</w:t>
      </w:r>
      <w:r>
        <w:rPr>
          <w:rFonts w:hint="eastAsia" w:ascii="仿宋_GB2312" w:hAnsi="Times New Roman" w:eastAsia="仿宋_GB2312" w:cs="Times New Roman"/>
          <w:kern w:val="2"/>
          <w:lang w:val="en-US" w:bidi="ar-SA"/>
        </w:rPr>
        <w:drawing>
          <wp:inline distT="0" distB="0" distL="0" distR="0">
            <wp:extent cx="85725" cy="155575"/>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w:t>
      </w:r>
    </w:p>
    <w:p w14:paraId="23313D36">
      <w:pPr>
        <w:pStyle w:val="4"/>
        <w:spacing w:before="25" w:line="328" w:lineRule="auto"/>
        <w:ind w:right="312" w:firstLine="640" w:firstLineChars="20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（一）</w:t>
      </w:r>
      <w:r>
        <w:rPr>
          <w:rFonts w:hint="eastAsia" w:ascii="仿宋_GB2312" w:hAnsi="Times New Roman" w:eastAsia="仿宋_GB2312" w:cs="Times New Roman"/>
          <w:kern w:val="2"/>
          <w:lang w:val="en-US" w:eastAsia="zh-CN" w:bidi="ar-SA"/>
        </w:rPr>
        <w:t>技校教育</w:t>
      </w:r>
      <w:r>
        <w:rPr>
          <w:rFonts w:hint="eastAsia" w:ascii="仿宋_GB2312" w:hAnsi="Times New Roman" w:eastAsia="仿宋_GB2312" w:cs="Times New Roman"/>
          <w:kern w:val="2"/>
          <w:lang w:val="en-US" w:bidi="ar-SA"/>
        </w:rPr>
        <w:t>年初预算为</w:t>
      </w:r>
      <w:r>
        <w:rPr>
          <w:rFonts w:hint="eastAsia" w:ascii="仿宋_GB2312" w:hAnsi="Times New Roman" w:eastAsia="仿宋_GB2312" w:cs="Times New Roman"/>
          <w:kern w:val="2"/>
          <w:lang w:val="en-US" w:eastAsia="zh-CN" w:bidi="ar-SA"/>
        </w:rPr>
        <w:t>2775.79</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4264.25</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153.62</w:t>
      </w:r>
      <w:r>
        <w:rPr>
          <w:rFonts w:hint="eastAsia" w:ascii="仿宋_GB2312" w:hAnsi="Times New Roman" w:eastAsia="仿宋_GB2312" w:cs="Times New Roman"/>
          <w:kern w:val="2"/>
          <w:lang w:val="en-US" w:bidi="ar-SA"/>
        </w:rPr>
        <w:drawing>
          <wp:inline distT="0" distB="0" distL="0" distR="0">
            <wp:extent cx="85725" cy="155575"/>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，预决算差异的原因是</w:t>
      </w:r>
      <w:r>
        <w:rPr>
          <w:rFonts w:hint="eastAsia" w:ascii="仿宋_GB2312" w:hAnsi="Times New Roman" w:eastAsia="仿宋_GB2312" w:cs="Times New Roman"/>
          <w:kern w:val="2"/>
          <w:lang w:val="en-US" w:eastAsia="zh-CN" w:bidi="ar-SA"/>
        </w:rPr>
        <w:t>2023年</w:t>
      </w:r>
      <w:r>
        <w:rPr>
          <w:rFonts w:hint="eastAsia" w:ascii="仿宋_GB2312" w:hAnsi="仿宋" w:eastAsia="仿宋_GB2312"/>
          <w:sz w:val="32"/>
          <w:szCs w:val="32"/>
          <w:lang w:val="en-US" w:eastAsia="zh-CN"/>
        </w:rPr>
        <w:t>新校区建设项目涉及审批调整，建设资金当年无法支付,</w:t>
      </w:r>
      <w:r>
        <w:rPr>
          <w:rFonts w:hint="eastAsia" w:ascii="仿宋_GB2312" w:hAnsi="Times New Roman" w:eastAsia="仿宋_GB2312" w:cs="Times New Roman"/>
          <w:kern w:val="2"/>
          <w:sz w:val="32"/>
          <w:szCs w:val="32"/>
          <w:lang w:val="en-US" w:bidi="ar-SA"/>
        </w:rPr>
        <w:t>项目资金结存形成</w:t>
      </w:r>
      <w:r>
        <w:rPr>
          <w:rFonts w:hint="eastAsia" w:ascii="仿宋_GB2312" w:hAnsi="Times New Roman" w:eastAsia="仿宋_GB2312" w:cs="Times New Roman"/>
          <w:kern w:val="2"/>
          <w:sz w:val="32"/>
          <w:szCs w:val="32"/>
          <w:lang w:val="en-US" w:eastAsia="zh-CN" w:bidi="ar-SA"/>
        </w:rPr>
        <w:t>了</w:t>
      </w:r>
      <w:r>
        <w:rPr>
          <w:rFonts w:hint="eastAsia" w:ascii="仿宋_GB2312" w:hAnsi="Times New Roman" w:eastAsia="仿宋_GB2312" w:cs="Times New Roman"/>
          <w:kern w:val="2"/>
          <w:sz w:val="32"/>
          <w:szCs w:val="32"/>
          <w:lang w:val="en-US" w:bidi="ar-SA"/>
        </w:rPr>
        <w:t>年末结转</w:t>
      </w:r>
      <w:r>
        <w:rPr>
          <w:rFonts w:hint="eastAsia" w:ascii="仿宋_GB2312" w:hAnsi="Times New Roman" w:eastAsia="仿宋_GB2312" w:cs="Times New Roman"/>
          <w:kern w:val="2"/>
          <w:sz w:val="32"/>
          <w:szCs w:val="32"/>
          <w:lang w:val="en-US" w:eastAsia="zh-CN" w:bidi="ar-SA"/>
        </w:rPr>
        <w:t>，该项目资金于2024年度完成支付。</w:t>
      </w:r>
    </w:p>
    <w:p w14:paraId="4C733448">
      <w:pPr>
        <w:pStyle w:val="4"/>
        <w:spacing w:before="3" w:line="328" w:lineRule="auto"/>
        <w:ind w:right="308" w:firstLine="626"/>
        <w:rPr>
          <w:rFonts w:hint="default" w:ascii="仿宋_GB2312" w:hAnsi="Times New Roman" w:eastAsia="仿宋_GB2312" w:cs="Times New Roman"/>
          <w:kern w:val="2"/>
          <w:lang w:val="en-US" w:eastAsia="zh-CN" w:bidi="ar-SA"/>
        </w:rPr>
      </w:pPr>
      <w:r>
        <w:rPr>
          <w:rFonts w:hint="eastAsia" w:ascii="仿宋_GB2312" w:hAnsi="Times New Roman" w:eastAsia="仿宋_GB2312" w:cs="Times New Roman"/>
          <w:kern w:val="2"/>
          <w:lang w:val="en-US" w:bidi="ar-SA"/>
        </w:rPr>
        <w:t>（二）机关事业单位基本养老保险缴费支出年初预算为</w:t>
      </w:r>
      <w:r>
        <w:rPr>
          <w:rFonts w:hint="eastAsia" w:ascii="仿宋_GB2312" w:hAnsi="Times New Roman" w:eastAsia="仿宋_GB2312" w:cs="Times New Roman"/>
          <w:kern w:val="2"/>
          <w:lang w:val="en-US" w:eastAsia="zh-CN" w:bidi="ar-SA"/>
        </w:rPr>
        <w:t>37.06</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37.06</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 预决算</w:t>
      </w:r>
      <w:r>
        <w:rPr>
          <w:rFonts w:hint="eastAsia" w:ascii="仿宋_GB2312" w:hAnsi="Times New Roman" w:eastAsia="仿宋_GB2312" w:cs="Times New Roman"/>
          <w:kern w:val="2"/>
          <w:lang w:val="en-US" w:eastAsia="zh-CN" w:bidi="ar-SA"/>
        </w:rPr>
        <w:t>无差</w:t>
      </w:r>
      <w:r>
        <w:rPr>
          <w:rFonts w:hint="eastAsia" w:ascii="仿宋_GB2312" w:hAnsi="Times New Roman" w:eastAsia="仿宋_GB2312" w:cs="Times New Roman"/>
          <w:kern w:val="2"/>
          <w:lang w:val="en-US" w:bidi="ar-SA"/>
        </w:rPr>
        <w:t>异</w:t>
      </w:r>
      <w:r>
        <w:rPr>
          <w:rFonts w:hint="eastAsia" w:ascii="仿宋_GB2312" w:hAnsi="Times New Roman" w:eastAsia="仿宋_GB2312" w:cs="Times New Roman"/>
          <w:kern w:val="2"/>
          <w:lang w:val="en-US" w:eastAsia="zh-CN" w:bidi="ar-SA"/>
        </w:rPr>
        <w:t>。</w:t>
      </w:r>
      <w:r>
        <w:rPr>
          <w:rFonts w:hint="eastAsia" w:ascii="仿宋_GB2312" w:hAnsi="Times New Roman" w:eastAsia="仿宋_GB2312" w:cs="Times New Roman"/>
          <w:kern w:val="2"/>
          <w:lang w:val="en-US" w:bidi="ar-SA"/>
        </w:rPr>
        <w:t>反映事业单位基本养老保险缴费</w:t>
      </w:r>
      <w:r>
        <w:rPr>
          <w:rFonts w:hint="eastAsia" w:ascii="仿宋_GB2312" w:hAnsi="Times New Roman" w:eastAsia="仿宋_GB2312" w:cs="Times New Roman"/>
          <w:kern w:val="2"/>
          <w:lang w:val="en-US" w:eastAsia="zh-CN" w:bidi="ar-SA"/>
        </w:rPr>
        <w:t>支出。</w:t>
      </w:r>
    </w:p>
    <w:p w14:paraId="20F090D1">
      <w:pPr>
        <w:pStyle w:val="4"/>
        <w:spacing w:before="3" w:line="328" w:lineRule="auto"/>
        <w:ind w:right="308" w:firstLine="626"/>
        <w:rPr>
          <w:rFonts w:hint="eastAsia" w:ascii="仿宋_GB2312" w:hAnsi="Times New Roman" w:eastAsia="仿宋_GB2312" w:cs="Times New Roman"/>
          <w:kern w:val="2"/>
          <w:lang w:val="en-US" w:bidi="ar-SA"/>
        </w:rPr>
      </w:pPr>
      <w:r>
        <w:rPr>
          <w:rFonts w:hint="eastAsia" w:ascii="仿宋_GB2312" w:hAnsi="Times New Roman" w:eastAsia="仿宋_GB2312" w:cs="Times New Roman"/>
          <w:kern w:val="2"/>
          <w:lang w:val="en-US" w:eastAsia="zh-CN" w:bidi="ar-SA"/>
        </w:rPr>
        <w:t>（三）高技能人才培养补助年初预算为0万元，支出决算为182.73万元。预决算差异原因有二方面：第一是</w:t>
      </w:r>
      <w:r>
        <w:rPr>
          <w:rFonts w:hint="eastAsia" w:ascii="仿宋_GB2312" w:hAnsi="仿宋" w:eastAsia="仿宋_GB2312"/>
          <w:sz w:val="32"/>
          <w:szCs w:val="32"/>
          <w:lang w:val="en-US" w:eastAsia="zh-CN"/>
        </w:rPr>
        <w:t>年中追加社会保障和就业支出项目“自治区级世界技能大赛项目集训基地项目”</w:t>
      </w:r>
      <w:r>
        <w:rPr>
          <w:rFonts w:hint="eastAsia" w:ascii="仿宋_GB2312" w:hAnsi="Times New Roman" w:eastAsia="仿宋_GB2312" w:cs="Times New Roman"/>
          <w:kern w:val="2"/>
          <w:lang w:val="en-US" w:bidi="ar-SA"/>
        </w:rPr>
        <w:t>主要用于</w:t>
      </w:r>
      <w:r>
        <w:rPr>
          <w:rFonts w:hint="eastAsia" w:ascii="仿宋_GB2312" w:hAnsi="Times New Roman" w:eastAsia="仿宋_GB2312" w:cs="Times New Roman"/>
          <w:kern w:val="2"/>
          <w:lang w:val="en-US" w:eastAsia="zh-CN" w:bidi="ar-SA"/>
        </w:rPr>
        <w:t>自治区级世界技能大赛项目集训基地建设支出160.97万元</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eastAsia="zh-CN" w:bidi="ar-SA"/>
        </w:rPr>
        <w:t>反映自治区级世界技能大赛项目集训基地建设支出；第二是2023年结存的未列支结转</w:t>
      </w:r>
      <w:r>
        <w:rPr>
          <w:rFonts w:hint="eastAsia" w:ascii="仿宋_GB2312" w:hAnsi="仿宋" w:eastAsia="仿宋_GB2312"/>
          <w:sz w:val="32"/>
          <w:szCs w:val="32"/>
          <w:lang w:val="en-US" w:eastAsia="zh-CN"/>
        </w:rPr>
        <w:t>社会保障和就业支出项目</w:t>
      </w:r>
      <w:r>
        <w:rPr>
          <w:rFonts w:hint="eastAsia" w:ascii="仿宋_GB2312" w:hAnsi="Times New Roman" w:eastAsia="仿宋_GB2312" w:cs="Times New Roman"/>
          <w:kern w:val="2"/>
          <w:lang w:val="en-US" w:eastAsia="zh-CN" w:bidi="ar-SA"/>
        </w:rPr>
        <w:t>“自治区级世界技能大赛项目集训基地项目”资金21.76万元，于2024年度完成支付，</w:t>
      </w:r>
      <w:r>
        <w:rPr>
          <w:rFonts w:hint="eastAsia" w:ascii="仿宋_GB2312" w:hAnsi="Times New Roman" w:eastAsia="仿宋_GB2312" w:cs="Times New Roman"/>
          <w:kern w:val="2"/>
          <w:lang w:val="en-US" w:bidi="ar-SA"/>
        </w:rPr>
        <w:t>主要用于</w:t>
      </w:r>
      <w:r>
        <w:rPr>
          <w:rFonts w:hint="eastAsia" w:ascii="仿宋_GB2312" w:hAnsi="Times New Roman" w:eastAsia="仿宋_GB2312" w:cs="Times New Roman"/>
          <w:kern w:val="2"/>
          <w:lang w:val="en-US" w:eastAsia="zh-CN" w:bidi="ar-SA"/>
        </w:rPr>
        <w:t>高技能人才培训基地建设</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eastAsia="zh-CN" w:bidi="ar-SA"/>
        </w:rPr>
        <w:t>反映高技能人才培训基地建设支出</w:t>
      </w:r>
      <w:r>
        <w:rPr>
          <w:rFonts w:hint="eastAsia" w:ascii="仿宋_GB2312" w:hAnsi="Times New Roman" w:eastAsia="仿宋_GB2312" w:cs="Times New Roman"/>
          <w:kern w:val="2"/>
          <w:lang w:val="en-US" w:bidi="ar-SA"/>
        </w:rPr>
        <w:t>。</w:t>
      </w:r>
    </w:p>
    <w:p w14:paraId="0E002EBC">
      <w:pPr>
        <w:pStyle w:val="4"/>
        <w:spacing w:line="328" w:lineRule="auto"/>
        <w:ind w:right="312" w:firstLine="626"/>
        <w:jc w:val="both"/>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w:t>
      </w:r>
      <w:r>
        <w:rPr>
          <w:rFonts w:hint="eastAsia" w:ascii="仿宋_GB2312" w:hAnsi="Times New Roman" w:eastAsia="仿宋_GB2312" w:cs="Times New Roman"/>
          <w:kern w:val="2"/>
          <w:lang w:val="en-US" w:eastAsia="zh-CN" w:bidi="ar-SA"/>
        </w:rPr>
        <w:t>四</w:t>
      </w:r>
      <w:r>
        <w:rPr>
          <w:rFonts w:hint="eastAsia" w:ascii="仿宋_GB2312" w:hAnsi="Times New Roman" w:eastAsia="仿宋_GB2312" w:cs="Times New Roman"/>
          <w:kern w:val="2"/>
          <w:lang w:val="en-US" w:bidi="ar-SA"/>
        </w:rPr>
        <w:t>）事业单位医疗年初预算为</w:t>
      </w:r>
      <w:r>
        <w:rPr>
          <w:rFonts w:hint="eastAsia" w:ascii="仿宋_GB2312" w:hAnsi="Times New Roman" w:eastAsia="仿宋_GB2312" w:cs="Times New Roman"/>
          <w:kern w:val="2"/>
          <w:lang w:val="en-US" w:eastAsia="zh-CN" w:bidi="ar-SA"/>
        </w:rPr>
        <w:t>17.14</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17.14</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w:t>
      </w:r>
      <w:r>
        <w:rPr>
          <w:rFonts w:hint="eastAsia" w:ascii="仿宋_GB2312" w:hAnsi="Times New Roman" w:eastAsia="仿宋_GB2312" w:cs="Times New Roman"/>
          <w:kern w:val="2"/>
          <w:lang w:val="en-US" w:eastAsia="zh-CN" w:bidi="ar-SA"/>
        </w:rPr>
        <w:t>无差异。</w:t>
      </w:r>
      <w:r>
        <w:rPr>
          <w:rFonts w:hint="eastAsia" w:ascii="仿宋_GB2312" w:hAnsi="Times New Roman" w:eastAsia="仿宋_GB2312" w:cs="Times New Roman"/>
          <w:kern w:val="2"/>
          <w:lang w:val="en-US" w:bidi="ar-SA"/>
        </w:rPr>
        <w:t>主要用于事业单位医疗支出</w:t>
      </w:r>
      <w:r>
        <w:rPr>
          <w:rFonts w:hint="eastAsia" w:ascii="仿宋_GB2312" w:hAnsi="Times New Roman" w:eastAsia="仿宋_GB2312" w:cs="Times New Roman"/>
          <w:kern w:val="2"/>
          <w:lang w:val="en-US" w:eastAsia="zh-CN" w:bidi="ar-SA"/>
        </w:rPr>
        <w:t>17.14</w:t>
      </w:r>
      <w:r>
        <w:rPr>
          <w:rFonts w:hint="eastAsia" w:ascii="仿宋_GB2312" w:hAnsi="Times New Roman" w:eastAsia="仿宋_GB2312" w:cs="Times New Roman"/>
          <w:kern w:val="2"/>
          <w:lang w:val="en-US" w:bidi="ar-SA"/>
        </w:rPr>
        <w:t>万元，反映事业单位基本医疗缴费经费。</w:t>
      </w:r>
    </w:p>
    <w:p w14:paraId="537D17E6">
      <w:pPr>
        <w:pStyle w:val="4"/>
        <w:spacing w:line="328" w:lineRule="auto"/>
        <w:ind w:right="308" w:firstLine="626"/>
        <w:rPr>
          <w:rFonts w:hint="eastAsia"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w:t>
      </w:r>
      <w:r>
        <w:rPr>
          <w:rFonts w:hint="eastAsia" w:ascii="仿宋_GB2312" w:hAnsi="Times New Roman" w:eastAsia="仿宋_GB2312" w:cs="Times New Roman"/>
          <w:kern w:val="2"/>
          <w:lang w:val="en-US" w:eastAsia="zh-CN" w:bidi="ar-SA"/>
        </w:rPr>
        <w:t>五</w:t>
      </w:r>
      <w:r>
        <w:rPr>
          <w:rFonts w:hint="eastAsia" w:ascii="仿宋_GB2312" w:hAnsi="Times New Roman" w:eastAsia="仿宋_GB2312" w:cs="Times New Roman"/>
          <w:kern w:val="2"/>
          <w:lang w:val="en-US" w:bidi="ar-SA"/>
        </w:rPr>
        <w:t>）住房公积金年初预算为</w:t>
      </w:r>
      <w:r>
        <w:rPr>
          <w:rFonts w:hint="eastAsia" w:ascii="仿宋_GB2312" w:hAnsi="Times New Roman" w:eastAsia="仿宋_GB2312" w:cs="Times New Roman"/>
          <w:kern w:val="2"/>
          <w:lang w:val="en-US" w:eastAsia="zh-CN" w:bidi="ar-SA"/>
        </w:rPr>
        <w:t>27.79</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27.79</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w:t>
      </w:r>
      <w:r>
        <w:rPr>
          <w:rFonts w:hint="eastAsia" w:ascii="仿宋_GB2312" w:hAnsi="Times New Roman" w:eastAsia="仿宋_GB2312" w:cs="Times New Roman"/>
          <w:kern w:val="2"/>
          <w:lang w:val="en-US" w:eastAsia="zh-CN" w:bidi="ar-SA"/>
        </w:rPr>
        <w:t>无</w:t>
      </w:r>
      <w:r>
        <w:rPr>
          <w:rFonts w:hint="eastAsia" w:ascii="仿宋_GB2312" w:hAnsi="Times New Roman" w:eastAsia="仿宋_GB2312" w:cs="Times New Roman"/>
          <w:kern w:val="2"/>
          <w:lang w:val="en-US" w:bidi="ar-SA"/>
        </w:rPr>
        <w:t>差异。主要反映按人力资源和社会保障部、财政部规定的基本工资和津贴补贴以及按规定比例为职工缴纳的住房公积金。</w:t>
      </w:r>
    </w:p>
    <w:p w14:paraId="085C718A">
      <w:pPr>
        <w:pStyle w:val="4"/>
        <w:spacing w:line="328" w:lineRule="auto"/>
        <w:ind w:right="308" w:firstLine="626"/>
        <w:rPr>
          <w:rFonts w:hint="eastAsia" w:ascii="仿宋_GB2312" w:hAnsi="Times New Roman" w:eastAsia="仿宋_GB2312" w:cs="Times New Roman"/>
          <w:kern w:val="2"/>
          <w:lang w:val="en-US" w:bidi="ar-SA"/>
        </w:rPr>
      </w:pPr>
    </w:p>
    <w:p w14:paraId="402CA26C">
      <w:pPr>
        <w:pStyle w:val="4"/>
        <w:spacing w:line="326" w:lineRule="auto"/>
        <w:ind w:right="274" w:firstLine="640"/>
        <w:rPr>
          <w:rFonts w:ascii="仿宋_GB2312" w:hAnsi="Times New Roman" w:eastAsia="仿宋_GB2312" w:cs="Times New Roman"/>
          <w:kern w:val="2"/>
          <w:lang w:val="en-US" w:bidi="ar-SA"/>
        </w:rPr>
      </w:pPr>
      <w:r>
        <w:rPr>
          <w:rFonts w:hint="eastAsia" w:ascii="黑体" w:hAnsi="黑体" w:eastAsia="黑体" w:cs="仿宋_GB2312"/>
          <w:lang w:val="en-US"/>
        </w:rPr>
        <w:t>三、202</w:t>
      </w:r>
      <w:r>
        <w:rPr>
          <w:rFonts w:hint="eastAsia" w:ascii="黑体" w:hAnsi="黑体" w:eastAsia="黑体" w:cs="仿宋_GB2312"/>
          <w:lang w:val="en-US" w:eastAsia="zh-CN"/>
        </w:rPr>
        <w:t>4</w:t>
      </w:r>
      <w:r>
        <w:rPr>
          <w:rFonts w:hint="eastAsia" w:ascii="黑体" w:hAnsi="黑体" w:eastAsia="黑体" w:cs="仿宋_GB2312"/>
          <w:lang w:val="en-US"/>
        </w:rPr>
        <w:t>年度一般公共预算财政拨款基本支出决算情况说明</w:t>
      </w:r>
    </w:p>
    <w:p w14:paraId="1D061E30">
      <w:pPr>
        <w:pStyle w:val="4"/>
        <w:spacing w:line="328" w:lineRule="auto"/>
        <w:ind w:right="464"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val="en-US" w:bidi="ar-SA"/>
        </w:rPr>
        <w:t>年度一般公共预算财政拨款基本支出</w:t>
      </w:r>
      <w:r>
        <w:rPr>
          <w:rFonts w:hint="eastAsia" w:ascii="仿宋_GB2312" w:hAnsi="Times New Roman" w:eastAsia="仿宋_GB2312" w:cs="Times New Roman"/>
          <w:kern w:val="2"/>
          <w:lang w:val="en-US" w:eastAsia="zh-CN" w:bidi="ar-SA"/>
        </w:rPr>
        <w:t>1020.66</w:t>
      </w:r>
      <w:r>
        <w:rPr>
          <w:rFonts w:hint="eastAsia" w:ascii="仿宋_GB2312" w:hAnsi="Times New Roman" w:eastAsia="仿宋_GB2312" w:cs="Times New Roman"/>
          <w:kern w:val="2"/>
          <w:lang w:val="en-US" w:bidi="ar-SA"/>
        </w:rPr>
        <w:t>万元，支出具体情况如下：</w:t>
      </w:r>
    </w:p>
    <w:p w14:paraId="75C607A2">
      <w:pPr>
        <w:pStyle w:val="4"/>
        <w:spacing w:before="155" w:line="326" w:lineRule="auto"/>
        <w:ind w:right="153" w:firstLine="640" w:firstLineChars="20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（一）工资福利支出</w:t>
      </w:r>
      <w:r>
        <w:rPr>
          <w:rFonts w:hint="eastAsia" w:ascii="仿宋_GB2312" w:hAnsi="Times New Roman" w:eastAsia="仿宋_GB2312" w:cs="Times New Roman"/>
          <w:kern w:val="2"/>
          <w:lang w:val="en-US" w:eastAsia="zh-CN" w:bidi="ar-SA"/>
        </w:rPr>
        <w:t>448.98</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101.32</w:t>
      </w:r>
      <w:r>
        <w:rPr>
          <w:rFonts w:hint="eastAsia" w:ascii="仿宋_GB2312" w:hAnsi="Times New Roman" w:eastAsia="仿宋_GB2312" w:cs="Times New Roman"/>
          <w:kern w:val="2"/>
          <w:lang w:val="en-US" w:bidi="ar-SA"/>
        </w:rPr>
        <w:drawing>
          <wp:inline distT="0" distB="0" distL="0" distR="0">
            <wp:extent cx="85725" cy="155575"/>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，预决算差异的主要原因是在职在编人员</w:t>
      </w:r>
      <w:r>
        <w:rPr>
          <w:rFonts w:hint="eastAsia" w:ascii="仿宋_GB2312" w:hAnsi="Times New Roman" w:eastAsia="仿宋_GB2312" w:cs="Times New Roman"/>
          <w:kern w:val="2"/>
          <w:lang w:val="en-US" w:eastAsia="zh-CN" w:bidi="ar-SA"/>
        </w:rPr>
        <w:t>工资调整</w:t>
      </w:r>
      <w:r>
        <w:rPr>
          <w:rFonts w:hint="eastAsia" w:ascii="仿宋_GB2312" w:hAnsi="Times New Roman" w:eastAsia="仿宋_GB2312" w:cs="Times New Roman"/>
          <w:kern w:val="2"/>
          <w:lang w:val="en-US" w:bidi="ar-SA"/>
        </w:rPr>
        <w:t>造成。主要包括：基本工资、机关事业单位基本养老保险缴费、职工基本医疗保险缴费、住房公积金、其他社会保障缴费、其他工资福利支出等。</w:t>
      </w:r>
    </w:p>
    <w:p w14:paraId="098061FD">
      <w:pPr>
        <w:pStyle w:val="4"/>
        <w:spacing w:before="18" w:line="328" w:lineRule="auto"/>
        <w:ind w:right="314" w:firstLine="626"/>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（二）商品和服务支出</w:t>
      </w:r>
      <w:r>
        <w:rPr>
          <w:rFonts w:hint="eastAsia" w:ascii="仿宋_GB2312" w:hAnsi="Times New Roman" w:eastAsia="仿宋_GB2312" w:cs="Times New Roman"/>
          <w:kern w:val="2"/>
          <w:lang w:val="en-US" w:eastAsia="zh-CN" w:bidi="ar-SA"/>
        </w:rPr>
        <w:t>475.90</w:t>
      </w:r>
      <w:r>
        <w:rPr>
          <w:rFonts w:hint="eastAsia" w:ascii="仿宋_GB2312" w:hAnsi="Times New Roman" w:eastAsia="仿宋_GB2312" w:cs="Times New Roman"/>
          <w:kern w:val="2"/>
          <w:lang w:val="en-US" w:bidi="ar-SA"/>
        </w:rPr>
        <w:t>万元，完成年初预算</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w:t>
      </w:r>
      <w:r>
        <w:rPr>
          <w:rFonts w:hint="eastAsia" w:ascii="仿宋_GB2312" w:hAnsi="Times New Roman" w:eastAsia="仿宋_GB2312" w:cs="Times New Roman"/>
          <w:kern w:val="2"/>
          <w:lang w:val="en-US" w:eastAsia="zh-CN" w:bidi="ar-SA"/>
        </w:rPr>
        <w:t>无</w:t>
      </w:r>
      <w:r>
        <w:rPr>
          <w:rFonts w:hint="eastAsia" w:ascii="仿宋_GB2312" w:hAnsi="Times New Roman" w:eastAsia="仿宋_GB2312" w:cs="Times New Roman"/>
          <w:kern w:val="2"/>
          <w:lang w:val="en-US" w:bidi="ar-SA"/>
        </w:rPr>
        <w:t>差异。主要包括：办公费、印刷费、咨询费、手续费、水费、电费、邮电费、物业管理费、差旅费、维修（护） 费、租赁费、会议费、培训费、公务接待费、专用材料费、劳务费、委托业务费、工会经费、福利费、公务用车运行维护费、其他交通费用、税金及附加费用、其他商品和服务支出等。</w:t>
      </w:r>
    </w:p>
    <w:p w14:paraId="104CC781">
      <w:pPr>
        <w:pStyle w:val="4"/>
        <w:spacing w:before="18" w:line="328" w:lineRule="auto"/>
        <w:ind w:right="314" w:firstLine="626"/>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（三）对个人和家庭的补助支出</w:t>
      </w:r>
      <w:r>
        <w:rPr>
          <w:rFonts w:hint="eastAsia" w:ascii="仿宋_GB2312" w:hAnsi="Times New Roman" w:eastAsia="仿宋_GB2312" w:cs="Times New Roman"/>
          <w:kern w:val="2"/>
          <w:lang w:val="en-US" w:eastAsia="zh-CN" w:bidi="ar-SA"/>
        </w:rPr>
        <w:t>95.78</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100.72</w:t>
      </w:r>
      <w:r>
        <w:rPr>
          <w:rFonts w:hint="eastAsia" w:ascii="仿宋_GB2312" w:hAnsi="Times New Roman" w:eastAsia="仿宋_GB2312" w:cs="Times New Roman"/>
          <w:kern w:val="2"/>
          <w:lang w:val="en-US" w:bidi="ar-SA"/>
        </w:rPr>
        <w:drawing>
          <wp:inline distT="0" distB="0" distL="0" distR="0">
            <wp:extent cx="85725" cy="155575"/>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，预决算差异原因是</w:t>
      </w:r>
      <w:r>
        <w:rPr>
          <w:rFonts w:hint="eastAsia" w:ascii="仿宋_GB2312" w:hAnsi="Times New Roman" w:eastAsia="仿宋_GB2312" w:cs="Times New Roman"/>
          <w:kern w:val="2"/>
          <w:lang w:val="en-US" w:eastAsia="zh-CN" w:bidi="ar-SA"/>
        </w:rPr>
        <w:t>退休</w:t>
      </w:r>
      <w:r>
        <w:rPr>
          <w:rFonts w:hint="eastAsia" w:ascii="仿宋_GB2312" w:hAnsi="Times New Roman" w:eastAsia="仿宋_GB2312" w:cs="Times New Roman"/>
          <w:kern w:val="2"/>
          <w:lang w:val="en-US" w:bidi="ar-SA"/>
        </w:rPr>
        <w:t>人</w:t>
      </w:r>
      <w:r>
        <w:rPr>
          <w:rFonts w:hint="eastAsia" w:ascii="仿宋_GB2312" w:hAnsi="Times New Roman" w:eastAsia="仿宋_GB2312" w:cs="Times New Roman"/>
          <w:kern w:val="2"/>
          <w:lang w:val="en-US" w:eastAsia="zh-CN" w:bidi="ar-SA"/>
        </w:rPr>
        <w:t>员</w:t>
      </w:r>
      <w:r>
        <w:rPr>
          <w:rFonts w:hint="eastAsia" w:ascii="仿宋_GB2312" w:hAnsi="Times New Roman" w:eastAsia="仿宋_GB2312" w:cs="Times New Roman"/>
          <w:kern w:val="2"/>
          <w:lang w:val="en-US" w:bidi="ar-SA"/>
        </w:rPr>
        <w:t>的变化，导致</w:t>
      </w:r>
      <w:r>
        <w:rPr>
          <w:rFonts w:hint="eastAsia" w:ascii="仿宋_GB2312" w:hAnsi="Times New Roman" w:eastAsia="仿宋_GB2312" w:cs="Times New Roman"/>
          <w:kern w:val="2"/>
          <w:lang w:val="en-US" w:eastAsia="zh-CN" w:bidi="ar-SA"/>
        </w:rPr>
        <w:t>退休人员相关费用发放较年初预算增加</w:t>
      </w:r>
      <w:r>
        <w:rPr>
          <w:rFonts w:hint="eastAsia" w:ascii="仿宋_GB2312" w:hAnsi="Times New Roman" w:eastAsia="仿宋_GB2312" w:cs="Times New Roman"/>
          <w:kern w:val="2"/>
          <w:lang w:val="en-US" w:bidi="ar-SA"/>
        </w:rPr>
        <w:t>。主要包括：退休费、助学金、其他对个人和家庭的补助支出等。</w:t>
      </w:r>
    </w:p>
    <w:p w14:paraId="3C1762AC">
      <w:pPr>
        <w:adjustRightInd w:val="0"/>
        <w:spacing w:line="560" w:lineRule="exact"/>
        <w:ind w:right="-15" w:rightChars="-7" w:firstLine="640" w:firstLineChars="200"/>
        <w:jc w:val="both"/>
        <w:rPr>
          <w:rFonts w:ascii="黑体" w:hAnsi="黑体" w:eastAsia="黑体" w:cs="仿宋_GB2312"/>
          <w:sz w:val="32"/>
          <w:szCs w:val="32"/>
        </w:rPr>
      </w:pPr>
      <w:r>
        <w:rPr>
          <w:rFonts w:hint="eastAsia" w:ascii="黑体" w:hAnsi="黑体" w:eastAsia="黑体" w:cs="仿宋_GB2312"/>
          <w:sz w:val="32"/>
          <w:szCs w:val="32"/>
        </w:rPr>
        <w:t>四、202</w:t>
      </w:r>
      <w:r>
        <w:rPr>
          <w:rFonts w:hint="eastAsia" w:ascii="黑体" w:hAnsi="黑体" w:eastAsia="黑体" w:cs="仿宋_GB2312"/>
          <w:sz w:val="32"/>
          <w:szCs w:val="32"/>
          <w:lang w:val="en-US" w:eastAsia="zh-CN"/>
        </w:rPr>
        <w:t>4</w:t>
      </w:r>
      <w:r>
        <w:rPr>
          <w:rFonts w:hint="eastAsia" w:ascii="黑体" w:hAnsi="黑体" w:eastAsia="黑体" w:cs="仿宋_GB2312"/>
          <w:sz w:val="32"/>
          <w:szCs w:val="32"/>
        </w:rPr>
        <w:t>年度政府性基金支出决算情况</w:t>
      </w:r>
    </w:p>
    <w:p w14:paraId="6489C5C4">
      <w:pPr>
        <w:pStyle w:val="4"/>
        <w:spacing w:before="155" w:line="326" w:lineRule="auto"/>
        <w:ind w:right="153" w:firstLine="640" w:firstLineChars="20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bidi="ar-SA"/>
        </w:rPr>
        <w:t>年度政府性基金支出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万元，较202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bidi="ar-SA"/>
        </w:rPr>
        <w:t>年度决算数增加（减少）</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万元，增长（下降）</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 xml:space="preserve"> %。其中：基本支出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万元，项目支出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w:t>
      </w:r>
    </w:p>
    <w:p w14:paraId="5D391E6E">
      <w:pPr>
        <w:pStyle w:val="4"/>
        <w:spacing w:before="155" w:line="326" w:lineRule="auto"/>
        <w:ind w:right="153" w:firstLine="640" w:firstLineChars="20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bidi="ar-SA"/>
        </w:rPr>
        <w:t>年度政府性基金支出年初预算为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万元，支出决算为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万元，完成年初预算的</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w:t>
      </w:r>
    </w:p>
    <w:p w14:paraId="4CC72537">
      <w:pPr>
        <w:pStyle w:val="4"/>
        <w:spacing w:before="155" w:line="326" w:lineRule="auto"/>
        <w:ind w:right="153" w:firstLine="640" w:firstLineChars="20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广西新闻出版</w:t>
      </w:r>
      <w:r>
        <w:rPr>
          <w:rFonts w:hint="eastAsia" w:ascii="仿宋_GB2312" w:hAnsi="Times New Roman" w:eastAsia="仿宋_GB2312" w:cs="Times New Roman"/>
          <w:kern w:val="2"/>
          <w:lang w:val="en-US" w:eastAsia="zh-CN" w:bidi="ar-SA"/>
        </w:rPr>
        <w:t>高级</w:t>
      </w:r>
      <w:r>
        <w:rPr>
          <w:rFonts w:hint="eastAsia" w:ascii="仿宋_GB2312" w:hAnsi="Times New Roman" w:eastAsia="仿宋_GB2312" w:cs="Times New Roman"/>
          <w:kern w:val="2"/>
          <w:lang w:bidi="ar-SA"/>
        </w:rPr>
        <w:t>技工学校没有政府性基金预算财政拨款收入，也没有政府性基金预算财政拨款安排的支出，故本项无数据。</w:t>
      </w:r>
    </w:p>
    <w:p w14:paraId="6AEA8E01">
      <w:pPr>
        <w:adjustRightInd w:val="0"/>
        <w:spacing w:line="560" w:lineRule="exact"/>
        <w:ind w:right="-15" w:rightChars="-7" w:firstLine="640" w:firstLineChars="200"/>
        <w:jc w:val="both"/>
        <w:rPr>
          <w:rFonts w:ascii="黑体" w:hAnsi="黑体" w:eastAsia="黑体" w:cs="仿宋_GB2312"/>
          <w:sz w:val="32"/>
          <w:szCs w:val="32"/>
        </w:rPr>
      </w:pPr>
      <w:r>
        <w:rPr>
          <w:rFonts w:hint="eastAsia" w:ascii="黑体" w:hAnsi="黑体" w:eastAsia="黑体" w:cs="仿宋_GB2312"/>
          <w:sz w:val="32"/>
          <w:szCs w:val="32"/>
        </w:rPr>
        <w:t>五、202</w:t>
      </w:r>
      <w:r>
        <w:rPr>
          <w:rFonts w:hint="eastAsia" w:ascii="黑体" w:hAnsi="黑体" w:eastAsia="黑体" w:cs="仿宋_GB2312"/>
          <w:sz w:val="32"/>
          <w:szCs w:val="32"/>
          <w:lang w:val="en-US" w:eastAsia="zh-CN"/>
        </w:rPr>
        <w:t>4</w:t>
      </w:r>
      <w:r>
        <w:rPr>
          <w:rFonts w:hint="eastAsia" w:ascii="黑体" w:hAnsi="黑体" w:eastAsia="黑体" w:cs="仿宋_GB2312"/>
          <w:sz w:val="32"/>
          <w:szCs w:val="32"/>
        </w:rPr>
        <w:t>年度国有资本经营预算支出决算情况</w:t>
      </w:r>
    </w:p>
    <w:p w14:paraId="03D963ED">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bidi="ar-SA"/>
        </w:rPr>
        <w:t>202</w:t>
      </w:r>
      <w:r>
        <w:rPr>
          <w:rFonts w:hint="eastAsia" w:ascii="仿宋_GB2312" w:hAnsi="Times New Roman"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bidi="ar-SA"/>
        </w:rPr>
        <w:t>年度国有资本经营预算支出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万元，较202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bidi="ar-SA"/>
        </w:rPr>
        <w:t>年度决算数增加（减少）</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万元，增长（下降）</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 xml:space="preserve"> %。其中：基本支出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万元，项目支出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w:t>
      </w:r>
    </w:p>
    <w:p w14:paraId="69300D74">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bidi="ar-SA"/>
        </w:rPr>
        <w:t>202</w:t>
      </w:r>
      <w:r>
        <w:rPr>
          <w:rFonts w:hint="eastAsia" w:ascii="仿宋_GB2312" w:hAnsi="Times New Roman"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bidi="ar-SA"/>
        </w:rPr>
        <w:t>年度国有资本经营预算支出年初预算为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万元，支出决算为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万元，完成年初预算的</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w:t>
      </w:r>
    </w:p>
    <w:p w14:paraId="63D7780C">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bidi="ar-SA"/>
        </w:rPr>
        <w:t>广西新闻出版</w:t>
      </w:r>
      <w:r>
        <w:rPr>
          <w:rFonts w:hint="eastAsia" w:ascii="仿宋_GB2312" w:hAnsi="Times New Roman" w:eastAsia="仿宋_GB2312" w:cs="Times New Roman"/>
          <w:kern w:val="2"/>
          <w:sz w:val="32"/>
          <w:szCs w:val="32"/>
          <w:lang w:val="en-US" w:eastAsia="zh-CN" w:bidi="ar-SA"/>
        </w:rPr>
        <w:t>高级</w:t>
      </w:r>
      <w:r>
        <w:rPr>
          <w:rFonts w:hint="eastAsia" w:ascii="仿宋_GB2312" w:hAnsi="Times New Roman" w:eastAsia="仿宋_GB2312" w:cs="Times New Roman"/>
          <w:kern w:val="2"/>
          <w:sz w:val="32"/>
          <w:szCs w:val="32"/>
          <w:lang w:bidi="ar-SA"/>
        </w:rPr>
        <w:t>技工学校没有国有资本经营预算财政拨款收入，也没有国有资本经营预算财政拨款安排的支出，故本项无数据。</w:t>
      </w:r>
    </w:p>
    <w:p w14:paraId="6D11F5B5">
      <w:pPr>
        <w:pStyle w:val="4"/>
        <w:spacing w:line="405" w:lineRule="exact"/>
        <w:ind w:left="238" w:firstLine="518" w:firstLineChars="162"/>
        <w:rPr>
          <w:rFonts w:ascii="黑体" w:eastAsia="黑体"/>
        </w:rPr>
      </w:pPr>
      <w:r>
        <w:rPr>
          <w:rFonts w:hint="eastAsia" w:ascii="黑体" w:hAnsi="黑体" w:eastAsia="黑体"/>
        </w:rPr>
        <w:t>六、财政拨款安排的“三公”经费支出决</w:t>
      </w:r>
      <w:r>
        <w:rPr>
          <w:rFonts w:hint="eastAsia" w:ascii="黑体" w:eastAsia="黑体"/>
        </w:rPr>
        <w:t>算情况说明</w:t>
      </w:r>
    </w:p>
    <w:p w14:paraId="09FB6000">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年度财政拨款安排的“三公”经费支出</w:t>
      </w:r>
      <w:r>
        <w:rPr>
          <w:rFonts w:hint="eastAsia" w:ascii="仿宋_GB2312" w:eastAsia="仿宋_GB2312" w:cs="仿宋_GB2312"/>
          <w:sz w:val="32"/>
          <w:szCs w:val="32"/>
          <w:lang w:val="en-US" w:eastAsia="zh-CN"/>
        </w:rPr>
        <w:t>4.50</w:t>
      </w:r>
      <w:r>
        <w:rPr>
          <w:rFonts w:hint="eastAsia" w:ascii="仿宋_GB2312" w:eastAsia="仿宋_GB2312" w:cs="仿宋_GB2312"/>
          <w:sz w:val="32"/>
          <w:szCs w:val="32"/>
        </w:rPr>
        <w:t>万元，完成年初预算的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%，比上年</w:t>
      </w:r>
      <w:r>
        <w:rPr>
          <w:rFonts w:hint="eastAsia" w:ascii="仿宋_GB2312" w:eastAsia="仿宋_GB2312" w:cs="仿宋_GB2312"/>
          <w:sz w:val="32"/>
          <w:szCs w:val="32"/>
          <w:lang w:val="en-US" w:eastAsia="zh-CN"/>
        </w:rPr>
        <w:t>减少</w:t>
      </w:r>
      <w:r>
        <w:rPr>
          <w:rFonts w:hint="eastAsia" w:ascii="仿宋_GB2312" w:eastAsia="仿宋_GB2312" w:cs="仿宋_GB2312"/>
          <w:sz w:val="32"/>
          <w:szCs w:val="32"/>
          <w:lang w:val="en-US"/>
        </w:rPr>
        <w:t>0.</w:t>
      </w:r>
      <w:r>
        <w:rPr>
          <w:rFonts w:hint="eastAsia" w:ascii="仿宋_GB2312" w:eastAsia="仿宋_GB2312" w:cs="仿宋_GB2312"/>
          <w:sz w:val="32"/>
          <w:szCs w:val="32"/>
          <w:lang w:val="en-US" w:eastAsia="zh-CN"/>
        </w:rPr>
        <w:t>50</w:t>
      </w:r>
      <w:r>
        <w:rPr>
          <w:rFonts w:hint="eastAsia" w:ascii="仿宋_GB2312" w:eastAsia="仿宋_GB2312" w:cs="仿宋_GB2312"/>
          <w:sz w:val="32"/>
          <w:szCs w:val="32"/>
        </w:rPr>
        <w:t>万元，主要原因是</w:t>
      </w:r>
      <w:r>
        <w:rPr>
          <w:rFonts w:hint="eastAsia" w:ascii="仿宋_GB2312" w:eastAsia="仿宋_GB2312" w:cs="仿宋_GB2312"/>
          <w:sz w:val="32"/>
          <w:szCs w:val="32"/>
          <w:lang w:val="en-US" w:eastAsia="zh-CN"/>
        </w:rPr>
        <w:t>压减一般公共预算拨款安排的“三公”经费支出。</w:t>
      </w:r>
      <w:r>
        <w:rPr>
          <w:rFonts w:hint="eastAsia" w:ascii="仿宋_GB2312" w:eastAsia="仿宋_GB2312" w:cs="仿宋_GB2312"/>
          <w:sz w:val="32"/>
          <w:szCs w:val="32"/>
        </w:rPr>
        <w:t>其中：因公出国（境）费支出决算</w:t>
      </w:r>
      <w:r>
        <w:rPr>
          <w:rFonts w:hint="eastAsia" w:ascii="仿宋_GB2312" w:eastAsia="仿宋_GB2312" w:cs="仿宋_GB2312"/>
          <w:sz w:val="32"/>
          <w:szCs w:val="32"/>
          <w:lang w:val="en-US"/>
        </w:rPr>
        <w:t>0</w:t>
      </w:r>
      <w:r>
        <w:rPr>
          <w:rFonts w:hint="eastAsia" w:ascii="仿宋_GB2312" w:eastAsia="仿宋_GB2312" w:cs="仿宋_GB2312"/>
          <w:sz w:val="32"/>
          <w:szCs w:val="32"/>
        </w:rPr>
        <w:t>万元，公务用车购置及运行费支出决算</w:t>
      </w:r>
      <w:r>
        <w:rPr>
          <w:rFonts w:hint="eastAsia" w:ascii="仿宋_GB2312" w:eastAsia="仿宋_GB2312" w:cs="仿宋_GB2312"/>
          <w:sz w:val="32"/>
          <w:szCs w:val="32"/>
          <w:lang w:val="en-US" w:eastAsia="zh-CN"/>
        </w:rPr>
        <w:t>4.50</w:t>
      </w:r>
      <w:r>
        <w:rPr>
          <w:rFonts w:hint="eastAsia" w:ascii="仿宋_GB2312" w:eastAsia="仿宋_GB2312" w:cs="仿宋_GB2312"/>
          <w:sz w:val="32"/>
          <w:szCs w:val="32"/>
        </w:rPr>
        <w:t>万元，公务接待费支出决算</w:t>
      </w:r>
      <w:r>
        <w:rPr>
          <w:rFonts w:hint="eastAsia" w:ascii="仿宋_GB2312" w:eastAsia="仿宋_GB2312" w:cs="仿宋_GB2312"/>
          <w:sz w:val="32"/>
          <w:szCs w:val="32"/>
          <w:lang w:val="en-US"/>
        </w:rPr>
        <w:t>0</w:t>
      </w:r>
      <w:r>
        <w:rPr>
          <w:rFonts w:hint="eastAsia" w:ascii="仿宋_GB2312" w:eastAsia="仿宋_GB2312" w:cs="仿宋_GB2312"/>
          <w:sz w:val="32"/>
          <w:szCs w:val="32"/>
        </w:rPr>
        <w:t>万元。</w:t>
      </w:r>
    </w:p>
    <w:p w14:paraId="116D54D4">
      <w:pPr>
        <w:pStyle w:val="4"/>
        <w:spacing w:line="405" w:lineRule="exact"/>
        <w:ind w:left="758"/>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具体情况如下：</w:t>
      </w:r>
    </w:p>
    <w:p w14:paraId="7A22F401">
      <w:pPr>
        <w:pStyle w:val="4"/>
        <w:spacing w:before="150"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bidi="ar-SA"/>
        </w:rPr>
        <w:t>（一）因公出国（境）费支出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bidi="ar-SA"/>
        </w:rPr>
        <w:t>年预算</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万元，支出及预算经费为</w:t>
      </w:r>
      <w:r>
        <w:rPr>
          <w:rFonts w:hint="eastAsia" w:ascii="仿宋_GB2312" w:hAnsi="Times New Roman" w:eastAsia="仿宋_GB2312" w:cs="Times New Roman"/>
          <w:kern w:val="2"/>
          <w:lang w:val="en-US" w:bidi="ar-SA"/>
        </w:rPr>
        <w:t>0万元，全年因公出国（境）团组共计0个，累计0人次。</w:t>
      </w:r>
      <w:r>
        <w:rPr>
          <w:rFonts w:hint="eastAsia" w:ascii="仿宋_GB2312" w:hAnsi="Times New Roman" w:eastAsia="仿宋_GB2312" w:cs="Times New Roman"/>
          <w:kern w:val="2"/>
          <w:lang w:bidi="ar-SA"/>
        </w:rPr>
        <w:t>主要原因是因公出国（境）费支出在部门预算中未使用一般公共预算拨款安排。</w:t>
      </w:r>
    </w:p>
    <w:p w14:paraId="261AF311">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（二）</w:t>
      </w:r>
      <w:r>
        <w:rPr>
          <w:rFonts w:hint="eastAsia" w:ascii="仿宋_GB2312" w:eastAsia="仿宋_GB2312" w:cs="仿宋_GB2312"/>
        </w:rPr>
        <w:t>公务用车购置及运行费</w:t>
      </w:r>
      <w:r>
        <w:rPr>
          <w:rFonts w:hint="eastAsia" w:ascii="仿宋_GB2312" w:hAnsi="Times New Roman" w:eastAsia="仿宋_GB2312" w:cs="Times New Roman"/>
          <w:kern w:val="2"/>
          <w:lang w:bidi="ar-SA"/>
        </w:rPr>
        <w:t>支出</w:t>
      </w:r>
      <w:r>
        <w:rPr>
          <w:rFonts w:hint="eastAsia" w:ascii="仿宋_GB2312" w:hAnsi="Times New Roman" w:eastAsia="仿宋_GB2312" w:cs="Times New Roman"/>
          <w:kern w:val="2"/>
          <w:lang w:val="en-US" w:eastAsia="zh-CN" w:bidi="ar-SA"/>
        </w:rPr>
        <w:t>4.50</w:t>
      </w:r>
      <w:r>
        <w:rPr>
          <w:rFonts w:hint="eastAsia" w:ascii="仿宋_GB2312" w:hAnsi="Times New Roman" w:eastAsia="仿宋_GB2312" w:cs="Times New Roman"/>
          <w:kern w:val="2"/>
          <w:lang w:bidi="ar-SA"/>
        </w:rPr>
        <w:t>万元。其中：</w:t>
      </w:r>
    </w:p>
    <w:p w14:paraId="44780DCE">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eastAsia="仿宋_GB2312" w:cs="仿宋_GB2312"/>
          <w:sz w:val="32"/>
          <w:szCs w:val="32"/>
        </w:rPr>
        <w:t>公务用车购置支出</w:t>
      </w:r>
      <w:r>
        <w:rPr>
          <w:rFonts w:hint="eastAsia" w:ascii="仿宋_GB2312" w:eastAsia="仿宋_GB2312" w:cs="仿宋_GB2312"/>
          <w:sz w:val="32"/>
          <w:szCs w:val="32"/>
          <w:lang w:val="en-US"/>
        </w:rPr>
        <w:t>0</w:t>
      </w:r>
      <w:r>
        <w:rPr>
          <w:rFonts w:hint="eastAsia" w:ascii="仿宋_GB2312" w:eastAsia="仿宋_GB2312" w:cs="仿宋_GB2312"/>
          <w:sz w:val="32"/>
          <w:szCs w:val="32"/>
        </w:rPr>
        <w:t>万元，年初预算</w:t>
      </w:r>
      <w:r>
        <w:rPr>
          <w:rFonts w:hint="eastAsia" w:ascii="仿宋_GB2312" w:eastAsia="仿宋_GB2312" w:cs="仿宋_GB2312"/>
          <w:sz w:val="32"/>
          <w:szCs w:val="32"/>
          <w:lang w:val="en-US"/>
        </w:rPr>
        <w:t>0万元，与年初预算一致。</w:t>
      </w:r>
      <w:r>
        <w:rPr>
          <w:rFonts w:hint="eastAsia" w:ascii="仿宋_GB2312" w:eastAsia="仿宋_GB2312" w:cs="仿宋_GB2312"/>
          <w:sz w:val="32"/>
          <w:szCs w:val="32"/>
        </w:rPr>
        <w:t>比上年增减（减少）</w:t>
      </w:r>
      <w:r>
        <w:rPr>
          <w:rFonts w:hint="eastAsia" w:ascii="仿宋_GB2312" w:eastAsia="仿宋_GB2312" w:cs="仿宋_GB2312"/>
          <w:sz w:val="32"/>
          <w:szCs w:val="32"/>
          <w:lang w:val="en-US"/>
        </w:rPr>
        <w:t>0</w:t>
      </w:r>
      <w:r>
        <w:rPr>
          <w:rFonts w:hint="eastAsia" w:ascii="仿宋_GB2312" w:eastAsia="仿宋_GB2312" w:cs="仿宋_GB2312"/>
          <w:sz w:val="32"/>
          <w:szCs w:val="32"/>
        </w:rPr>
        <w:t>万元，原因是本单位未安排公务用车购置预算，未发生公务用车购置业务。</w:t>
      </w:r>
    </w:p>
    <w:p w14:paraId="2B8573F4">
      <w:pPr>
        <w:pStyle w:val="4"/>
        <w:spacing w:before="150" w:line="328" w:lineRule="auto"/>
        <w:ind w:right="273" w:firstLine="640"/>
        <w:rPr>
          <w:rFonts w:ascii="仿宋_GB2312" w:hAnsi="Times New Roman" w:eastAsia="仿宋_GB2312" w:cs="Times New Roman"/>
          <w:kern w:val="2"/>
          <w:lang w:bidi="ar-SA"/>
        </w:rPr>
      </w:pPr>
      <w:r>
        <w:rPr>
          <w:rFonts w:hint="eastAsia" w:ascii="仿宋_GB2312" w:eastAsia="仿宋_GB2312" w:cs="仿宋_GB2312"/>
        </w:rPr>
        <w:t>公务用车运行支出</w:t>
      </w:r>
      <w:r>
        <w:rPr>
          <w:rFonts w:hint="eastAsia" w:ascii="仿宋_GB2312" w:eastAsia="仿宋_GB2312" w:cs="仿宋_GB2312"/>
          <w:lang w:val="en-US" w:eastAsia="zh-CN"/>
        </w:rPr>
        <w:t>4.50</w:t>
      </w:r>
      <w:r>
        <w:rPr>
          <w:rFonts w:hint="eastAsia" w:ascii="仿宋_GB2312" w:eastAsia="仿宋_GB2312" w:cs="仿宋_GB2312"/>
          <w:lang w:val="en-US"/>
        </w:rPr>
        <w:t>万元，完成年初预算</w:t>
      </w:r>
      <w:r>
        <w:rPr>
          <w:rFonts w:hint="eastAsia" w:ascii="仿宋_GB2312" w:eastAsia="仿宋_GB2312" w:cs="仿宋_GB2312"/>
          <w:lang w:val="en-US" w:eastAsia="zh-CN"/>
        </w:rPr>
        <w:t>100</w:t>
      </w:r>
      <w:r>
        <w:rPr>
          <w:rFonts w:hint="eastAsia" w:ascii="仿宋_GB2312" w:eastAsia="仿宋_GB2312" w:cs="仿宋_GB2312"/>
          <w:lang w:val="en-US"/>
        </w:rPr>
        <w:t>%，</w:t>
      </w:r>
      <w:r>
        <w:rPr>
          <w:rFonts w:hint="eastAsia" w:ascii="仿宋_GB2312" w:hAnsi="Times New Roman" w:eastAsia="仿宋_GB2312" w:cs="Times New Roman"/>
          <w:kern w:val="2"/>
          <w:lang w:bidi="ar-SA"/>
        </w:rPr>
        <w:t>同比上年</w:t>
      </w:r>
      <w:r>
        <w:rPr>
          <w:rFonts w:hint="eastAsia" w:ascii="仿宋_GB2312" w:hAnsi="Times New Roman" w:eastAsia="仿宋_GB2312" w:cs="Times New Roman"/>
          <w:kern w:val="2"/>
          <w:lang w:val="en-US" w:eastAsia="zh-CN" w:bidi="ar-SA"/>
        </w:rPr>
        <w:t>减少</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val="en-US" w:eastAsia="zh-CN" w:bidi="ar-SA"/>
        </w:rPr>
        <w:t>50</w:t>
      </w:r>
      <w:r>
        <w:rPr>
          <w:rFonts w:hint="eastAsia" w:ascii="仿宋_GB2312" w:hAnsi="Times New Roman" w:eastAsia="仿宋_GB2312" w:cs="Times New Roman"/>
          <w:kern w:val="2"/>
          <w:lang w:bidi="ar-SA"/>
        </w:rPr>
        <w:t>万元，</w:t>
      </w:r>
      <w:r>
        <w:rPr>
          <w:rFonts w:hint="eastAsia" w:ascii="仿宋_GB2312" w:hAnsi="Times New Roman" w:eastAsia="仿宋_GB2312" w:cs="Times New Roman"/>
          <w:kern w:val="2"/>
          <w:lang w:val="en-US" w:eastAsia="zh-CN" w:bidi="ar-SA"/>
        </w:rPr>
        <w:t>下降10</w:t>
      </w:r>
      <w:r>
        <w:rPr>
          <w:rFonts w:hint="eastAsia" w:ascii="仿宋_GB2312" w:hAnsi="Times New Roman" w:eastAsia="仿宋_GB2312" w:cs="Times New Roman"/>
          <w:kern w:val="2"/>
          <w:lang w:val="en-US" w:bidi="ar-SA"/>
        </w:rPr>
        <w:drawing>
          <wp:inline distT="0" distB="0" distL="0" distR="0">
            <wp:extent cx="85725" cy="155575"/>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bidi="ar-SA"/>
        </w:rPr>
        <w:t>。</w:t>
      </w:r>
      <w:r>
        <w:rPr>
          <w:rFonts w:hint="eastAsia" w:ascii="仿宋_GB2312" w:hAnsi="Times New Roman" w:eastAsia="仿宋_GB2312" w:cs="Times New Roman"/>
          <w:kern w:val="2"/>
          <w:lang w:val="en-US" w:eastAsia="zh-CN" w:bidi="ar-SA"/>
        </w:rPr>
        <w:t>减少</w:t>
      </w:r>
      <w:r>
        <w:rPr>
          <w:rFonts w:hint="eastAsia" w:ascii="仿宋_GB2312" w:hAnsi="Times New Roman" w:eastAsia="仿宋_GB2312" w:cs="Times New Roman"/>
          <w:kern w:val="2"/>
          <w:lang w:bidi="ar-SA"/>
        </w:rPr>
        <w:t>的主要原因是</w:t>
      </w:r>
      <w:r>
        <w:rPr>
          <w:rFonts w:hint="eastAsia" w:ascii="仿宋_GB2312" w:eastAsia="仿宋_GB2312" w:cs="仿宋_GB2312"/>
          <w:lang w:val="en-US" w:eastAsia="zh-CN"/>
        </w:rPr>
        <w:t>压减一般公共预算安排的公务用车运行支出</w:t>
      </w:r>
      <w:r>
        <w:rPr>
          <w:rFonts w:hint="eastAsia" w:ascii="仿宋_GB2312" w:hAnsi="Times New Roman" w:eastAsia="仿宋_GB2312" w:cs="Times New Roman"/>
          <w:kern w:val="2"/>
          <w:lang w:bidi="ar-SA"/>
        </w:rPr>
        <w:t>。公务用车运行维护费主要用于市内因公出行以及开展各类教学活动所需车辆燃料费、维修费、过路过桥费、保险费等。</w:t>
      </w:r>
      <w:r>
        <w:rPr>
          <w:rFonts w:hint="eastAsia" w:ascii="仿宋_GB2312" w:eastAsia="仿宋_GB2312" w:cs="仿宋_GB2312"/>
        </w:rPr>
        <w:t>202</w:t>
      </w:r>
      <w:r>
        <w:rPr>
          <w:rFonts w:hint="eastAsia" w:ascii="仿宋_GB2312" w:eastAsia="仿宋_GB2312" w:cs="仿宋_GB2312"/>
          <w:lang w:val="en-US" w:eastAsia="zh-CN"/>
        </w:rPr>
        <w:t>4</w:t>
      </w:r>
      <w:r>
        <w:rPr>
          <w:rFonts w:hint="eastAsia" w:ascii="仿宋_GB2312" w:eastAsia="仿宋_GB2312" w:cs="仿宋_GB2312"/>
        </w:rPr>
        <w:t>年，</w:t>
      </w:r>
      <w:r>
        <w:rPr>
          <w:rFonts w:hint="eastAsia" w:ascii="仿宋_GB2312" w:hAnsi="黑体" w:eastAsia="仿宋_GB2312"/>
          <w:bCs/>
          <w:color w:val="000000"/>
        </w:rPr>
        <w:t>广西新闻出版技工学校开支财政拨款的公务用车保有量为</w:t>
      </w:r>
      <w:r>
        <w:rPr>
          <w:rFonts w:hint="eastAsia" w:ascii="仿宋_GB2312" w:hAnsi="黑体" w:eastAsia="仿宋_GB2312"/>
          <w:bCs/>
          <w:color w:val="000000"/>
          <w:lang w:val="en-US"/>
        </w:rPr>
        <w:t>2</w:t>
      </w:r>
      <w:r>
        <w:rPr>
          <w:rFonts w:hint="eastAsia" w:ascii="仿宋_GB2312" w:hAnsi="黑体" w:eastAsia="仿宋_GB2312"/>
          <w:bCs/>
          <w:color w:val="000000"/>
        </w:rPr>
        <w:t>辆，全年运行费支出</w:t>
      </w:r>
      <w:r>
        <w:rPr>
          <w:rFonts w:hint="eastAsia" w:ascii="仿宋_GB2312" w:hAnsi="黑体" w:eastAsia="仿宋_GB2312"/>
          <w:bCs/>
          <w:color w:val="000000"/>
          <w:lang w:val="en-US" w:eastAsia="zh-CN"/>
        </w:rPr>
        <w:t>4.50</w:t>
      </w:r>
      <w:r>
        <w:rPr>
          <w:rFonts w:hint="eastAsia" w:ascii="仿宋_GB2312" w:hAnsi="黑体" w:eastAsia="仿宋_GB2312"/>
          <w:bCs/>
          <w:color w:val="000000"/>
        </w:rPr>
        <w:t>万元，平均每辆</w:t>
      </w:r>
      <w:r>
        <w:rPr>
          <w:rFonts w:hint="eastAsia" w:ascii="仿宋_GB2312" w:hAnsi="黑体" w:eastAsia="仿宋_GB2312"/>
          <w:bCs/>
          <w:color w:val="000000"/>
          <w:lang w:val="en-US"/>
        </w:rPr>
        <w:t>2.</w:t>
      </w:r>
      <w:r>
        <w:rPr>
          <w:rFonts w:hint="eastAsia" w:ascii="仿宋_GB2312" w:hAnsi="黑体" w:eastAsia="仿宋_GB2312"/>
          <w:bCs/>
          <w:color w:val="000000"/>
          <w:lang w:val="en-US" w:eastAsia="zh-CN"/>
        </w:rPr>
        <w:t>25</w:t>
      </w:r>
      <w:r>
        <w:rPr>
          <w:rFonts w:hint="eastAsia" w:ascii="仿宋_GB2312" w:hAnsi="黑体" w:eastAsia="仿宋_GB2312"/>
          <w:bCs/>
          <w:color w:val="000000"/>
        </w:rPr>
        <w:t>万元。</w:t>
      </w:r>
    </w:p>
    <w:p w14:paraId="40FFD217">
      <w:pPr>
        <w:pStyle w:val="4"/>
        <w:spacing w:before="23"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bidi="ar-SA"/>
        </w:rPr>
        <w:t>（三）公务接待费支出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 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bidi="ar-SA"/>
        </w:rPr>
        <w:t>年预算</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万元，支出及预算经费为</w:t>
      </w:r>
      <w:r>
        <w:rPr>
          <w:rFonts w:hint="eastAsia" w:ascii="仿宋_GB2312" w:hAnsi="Times New Roman" w:eastAsia="仿宋_GB2312" w:cs="Times New Roman"/>
          <w:kern w:val="2"/>
          <w:lang w:val="en-US" w:bidi="ar-SA"/>
        </w:rPr>
        <w:t>0万元，国内公务接待0次，人次0次，国（境）外公务接待批次0次，人次0次。</w:t>
      </w:r>
      <w:r>
        <w:rPr>
          <w:rFonts w:hint="eastAsia" w:ascii="仿宋_GB2312" w:hAnsi="Times New Roman" w:eastAsia="仿宋_GB2312" w:cs="Times New Roman"/>
          <w:kern w:val="2"/>
          <w:lang w:bidi="ar-SA"/>
        </w:rPr>
        <w:t>主要原因是公务接待费支出在部门预算中未使用一般公共预算拨款安排。</w:t>
      </w:r>
    </w:p>
    <w:p w14:paraId="06304586">
      <w:pPr>
        <w:pStyle w:val="4"/>
        <w:spacing w:line="403" w:lineRule="exact"/>
        <w:ind w:left="744"/>
        <w:rPr>
          <w:rFonts w:ascii="黑体" w:eastAsia="黑体"/>
        </w:rPr>
      </w:pPr>
      <w:r>
        <w:rPr>
          <w:rFonts w:hint="eastAsia" w:ascii="黑体" w:eastAsia="黑体"/>
        </w:rPr>
        <w:t>七、其他重要事项情况说明</w:t>
      </w:r>
    </w:p>
    <w:p w14:paraId="5D7537F6">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（一）</w:t>
      </w:r>
      <w:r>
        <w:rPr>
          <w:rFonts w:hint="eastAsia" w:ascii="仿宋_GB2312" w:eastAsia="仿宋_GB2312" w:cs="仿宋_GB2312"/>
        </w:rPr>
        <w:t>事业单位运行经费支出情况说明</w:t>
      </w:r>
      <w:r>
        <w:rPr>
          <w:rFonts w:hint="eastAsia" w:ascii="仿宋_GB2312" w:hAnsi="Times New Roman" w:eastAsia="仿宋_GB2312" w:cs="Times New Roman"/>
          <w:kern w:val="2"/>
          <w:lang w:bidi="ar-SA"/>
        </w:rPr>
        <w:t>。</w:t>
      </w:r>
    </w:p>
    <w:p w14:paraId="35949C0D">
      <w:pPr>
        <w:pStyle w:val="4"/>
        <w:spacing w:before="150" w:line="328" w:lineRule="auto"/>
        <w:ind w:right="273" w:firstLine="640"/>
        <w:jc w:val="distribute"/>
        <w:rPr>
          <w:rFonts w:hint="default" w:ascii="仿宋_GB2312" w:hAnsi="Times New Roman" w:eastAsia="仿宋_GB2312" w:cs="Times New Roman"/>
          <w:kern w:val="2"/>
          <w:lang w:val="en-US" w:eastAsia="zh-CN" w:bidi="ar-SA"/>
        </w:rPr>
      </w:pPr>
      <w:r>
        <w:rPr>
          <w:rFonts w:hint="eastAsia" w:ascii="仿宋_GB2312" w:hAnsi="Times New Roman" w:eastAsia="仿宋_GB2312" w:cs="Times New Roman"/>
          <w:kern w:val="2"/>
          <w:lang w:val="en-US" w:bidi="ar-SA"/>
        </w:rPr>
        <w:t>本单位202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val="en-US" w:bidi="ar-SA"/>
        </w:rPr>
        <w:t>年度</w:t>
      </w:r>
      <w:r>
        <w:rPr>
          <w:rFonts w:hint="eastAsia" w:ascii="仿宋_GB2312" w:eastAsia="仿宋_GB2312" w:cs="仿宋_GB2312"/>
        </w:rPr>
        <w:t>事业单位运行经费支出</w:t>
      </w:r>
      <w:r>
        <w:rPr>
          <w:rFonts w:hint="eastAsia" w:ascii="仿宋_GB2312" w:hAnsi="Times New Roman" w:eastAsia="仿宋_GB2312" w:cs="Times New Roman"/>
          <w:kern w:val="2"/>
          <w:lang w:val="en-US" w:eastAsia="zh-CN" w:bidi="ar-SA"/>
        </w:rPr>
        <w:t>475.90</w:t>
      </w:r>
      <w:r>
        <w:rPr>
          <w:rFonts w:hint="eastAsia" w:ascii="仿宋_GB2312" w:hAnsi="Times New Roman" w:eastAsia="仿宋_GB2312" w:cs="Times New Roman"/>
          <w:kern w:val="2"/>
          <w:lang w:val="en-US" w:bidi="ar-SA"/>
        </w:rPr>
        <w:t>万元，</w:t>
      </w:r>
      <w:r>
        <w:rPr>
          <w:rFonts w:hint="eastAsia" w:ascii="仿宋_GB2312" w:hAnsi="Times New Roman" w:eastAsia="仿宋_GB2312" w:cs="Times New Roman"/>
          <w:kern w:val="2"/>
          <w:lang w:val="en-US" w:eastAsia="zh-CN" w:bidi="ar-SA"/>
        </w:rPr>
        <w:t>与</w:t>
      </w:r>
      <w:r>
        <w:rPr>
          <w:rFonts w:hint="eastAsia" w:ascii="仿宋_GB2312" w:hAnsi="Times New Roman" w:eastAsia="仿宋_GB2312" w:cs="Times New Roman"/>
          <w:kern w:val="2"/>
          <w:lang w:val="en-US" w:bidi="ar-SA"/>
        </w:rPr>
        <w:t>年初预算数</w:t>
      </w:r>
      <w:r>
        <w:rPr>
          <w:rFonts w:hint="eastAsia" w:ascii="仿宋_GB2312" w:hAnsi="Times New Roman" w:eastAsia="仿宋_GB2312" w:cs="Times New Roman"/>
          <w:kern w:val="2"/>
          <w:lang w:val="en-US" w:eastAsia="zh-CN" w:bidi="ar-SA"/>
        </w:rPr>
        <w:t>持平</w:t>
      </w:r>
      <w:r>
        <w:rPr>
          <w:rFonts w:hint="eastAsia" w:ascii="仿宋_GB2312" w:hAnsi="Times New Roman" w:eastAsia="仿宋_GB2312" w:cs="Times New Roman"/>
          <w:kern w:val="2"/>
          <w:lang w:val="en-US" w:bidi="ar-SA"/>
        </w:rPr>
        <w:t>，比上年决算数</w:t>
      </w:r>
      <w:r>
        <w:rPr>
          <w:rFonts w:hint="eastAsia" w:ascii="仿宋_GB2312" w:hAnsi="Times New Roman" w:eastAsia="仿宋_GB2312" w:cs="Times New Roman"/>
          <w:kern w:val="2"/>
          <w:lang w:val="en-US" w:eastAsia="zh-CN" w:bidi="ar-SA"/>
        </w:rPr>
        <w:t>减少18</w:t>
      </w:r>
      <w:r>
        <w:rPr>
          <w:rFonts w:hint="eastAsia" w:ascii="仿宋_GB2312" w:hAnsi="Times New Roman" w:eastAsia="仿宋_GB2312" w:cs="Times New Roman"/>
          <w:kern w:val="2"/>
          <w:lang w:val="en-US" w:bidi="ar-SA"/>
        </w:rPr>
        <w:t>万元，</w:t>
      </w:r>
      <w:r>
        <w:rPr>
          <w:rFonts w:hint="eastAsia" w:ascii="仿宋_GB2312" w:hAnsi="Times New Roman" w:eastAsia="仿宋_GB2312" w:cs="Times New Roman"/>
          <w:kern w:val="2"/>
          <w:lang w:val="en-US" w:eastAsia="zh-CN" w:bidi="ar-SA"/>
        </w:rPr>
        <w:t>下降3.64</w:t>
      </w:r>
      <w:r>
        <w:rPr>
          <w:rFonts w:hint="eastAsia" w:ascii="仿宋_GB2312" w:hAnsi="Times New Roman" w:eastAsia="仿宋_GB2312" w:cs="Times New Roman"/>
          <w:kern w:val="2"/>
          <w:lang w:val="en-US" w:bidi="ar-SA"/>
        </w:rPr>
        <w:t>%。主要原因是</w:t>
      </w:r>
      <w:r>
        <w:rPr>
          <w:rFonts w:hint="eastAsia" w:ascii="仿宋_GB2312" w:hAnsi="Times New Roman" w:eastAsia="仿宋_GB2312" w:cs="Times New Roman"/>
          <w:kern w:val="2"/>
          <w:lang w:val="en-US" w:eastAsia="zh-CN" w:bidi="ar-SA"/>
        </w:rPr>
        <w:t>单位运行经费执行生均定额拨款制度，2024年度相较2023年度学生人数减少，造成生均定额拨款减少。</w:t>
      </w:r>
    </w:p>
    <w:p w14:paraId="7835E01A">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（二）政府采购支出情况说明。</w:t>
      </w:r>
    </w:p>
    <w:p w14:paraId="1E765A3C">
      <w:pPr>
        <w:pStyle w:val="4"/>
        <w:spacing w:before="150" w:line="328" w:lineRule="auto"/>
        <w:ind w:right="273" w:firstLine="640"/>
        <w:rPr>
          <w:rFonts w:ascii="仿宋_GB2312" w:hAnsi="Times New Roman" w:eastAsia="仿宋_GB2312" w:cs="Times New Roman"/>
          <w:kern w:val="2"/>
          <w:highlight w:val="none"/>
          <w:lang w:bidi="ar-SA"/>
        </w:rPr>
      </w:pPr>
      <w:r>
        <w:rPr>
          <w:rFonts w:hint="eastAsia" w:ascii="仿宋_GB2312" w:hAnsi="Times New Roman" w:eastAsia="仿宋_GB2312" w:cs="Times New Roman"/>
          <w:kern w:val="2"/>
          <w:lang w:bidi="ar-SA"/>
        </w:rPr>
        <w:t>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bidi="ar-SA"/>
        </w:rPr>
        <w:t>年本单位政府采购支出总额</w:t>
      </w:r>
      <w:r>
        <w:rPr>
          <w:rFonts w:hint="eastAsia" w:ascii="仿宋_GB2312" w:hAnsi="Times New Roman" w:eastAsia="仿宋_GB2312" w:cs="Times New Roman"/>
          <w:kern w:val="2"/>
          <w:lang w:val="en-US" w:eastAsia="zh-CN" w:bidi="ar-SA"/>
        </w:rPr>
        <w:t>3031.24</w:t>
      </w:r>
      <w:r>
        <w:rPr>
          <w:rFonts w:hint="eastAsia" w:ascii="仿宋_GB2312" w:hAnsi="Times New Roman" w:eastAsia="仿宋_GB2312" w:cs="Times New Roman"/>
          <w:kern w:val="2"/>
          <w:lang w:bidi="ar-SA"/>
        </w:rPr>
        <w:t>万元，其中： 政府采购货物支出</w:t>
      </w:r>
      <w:r>
        <w:rPr>
          <w:rFonts w:hint="eastAsia" w:ascii="仿宋_GB2312" w:hAnsi="Times New Roman" w:eastAsia="仿宋_GB2312" w:cs="Times New Roman"/>
          <w:kern w:val="2"/>
          <w:lang w:val="en-US" w:eastAsia="zh-CN" w:bidi="ar-SA"/>
        </w:rPr>
        <w:t>291.51</w:t>
      </w:r>
      <w:r>
        <w:rPr>
          <w:rFonts w:hint="eastAsia" w:ascii="仿宋_GB2312" w:hAnsi="Times New Roman" w:eastAsia="仿宋_GB2312" w:cs="Times New Roman"/>
          <w:kern w:val="2"/>
          <w:lang w:bidi="ar-SA"/>
        </w:rPr>
        <w:t>万元、政府采购工程支出</w:t>
      </w:r>
      <w:r>
        <w:rPr>
          <w:rFonts w:hint="eastAsia" w:ascii="仿宋_GB2312" w:hAnsi="Times New Roman" w:eastAsia="仿宋_GB2312" w:cs="Times New Roman"/>
          <w:kern w:val="2"/>
          <w:lang w:val="en-US" w:eastAsia="zh-CN" w:bidi="ar-SA"/>
        </w:rPr>
        <w:t>2565.61</w:t>
      </w:r>
      <w:r>
        <w:rPr>
          <w:rFonts w:hint="eastAsia" w:ascii="仿宋_GB2312" w:hAnsi="Times New Roman" w:eastAsia="仿宋_GB2312" w:cs="Times New Roman"/>
          <w:kern w:val="2"/>
          <w:lang w:bidi="ar-SA"/>
        </w:rPr>
        <w:t>万元、政府采购服务支出</w:t>
      </w:r>
      <w:r>
        <w:rPr>
          <w:rFonts w:hint="eastAsia" w:ascii="仿宋_GB2312" w:hAnsi="Times New Roman" w:eastAsia="仿宋_GB2312" w:cs="Times New Roman"/>
          <w:kern w:val="2"/>
          <w:lang w:val="en-US" w:eastAsia="zh-CN" w:bidi="ar-SA"/>
        </w:rPr>
        <w:t>174.12</w:t>
      </w:r>
      <w:r>
        <w:rPr>
          <w:rFonts w:hint="eastAsia" w:ascii="仿宋_GB2312" w:hAnsi="Times New Roman" w:eastAsia="仿宋_GB2312" w:cs="Times New Roman"/>
          <w:kern w:val="2"/>
          <w:lang w:bidi="ar-SA"/>
        </w:rPr>
        <w:t>万元。授予中小企业合同金额</w:t>
      </w:r>
      <w:r>
        <w:rPr>
          <w:rFonts w:hint="eastAsia" w:ascii="仿宋_GB2312" w:hAnsi="Times New Roman" w:eastAsia="仿宋_GB2312" w:cs="Times New Roman"/>
          <w:kern w:val="2"/>
          <w:lang w:val="en-US" w:eastAsia="zh-CN" w:bidi="ar-SA"/>
        </w:rPr>
        <w:t>395.47</w:t>
      </w:r>
      <w:r>
        <w:rPr>
          <w:rFonts w:hint="eastAsia" w:ascii="仿宋_GB2312" w:hAnsi="Times New Roman" w:eastAsia="仿宋_GB2312" w:cs="Times New Roman"/>
          <w:kern w:val="2"/>
          <w:lang w:bidi="ar-SA"/>
        </w:rPr>
        <w:t>万元，占政府采购支出总额的</w:t>
      </w:r>
      <w:r>
        <w:rPr>
          <w:rFonts w:hint="eastAsia" w:ascii="仿宋_GB2312" w:hAnsi="Times New Roman" w:eastAsia="仿宋_GB2312" w:cs="Times New Roman"/>
          <w:kern w:val="2"/>
          <w:lang w:val="en-US" w:eastAsia="zh-CN" w:bidi="ar-SA"/>
        </w:rPr>
        <w:t>13.05</w:t>
      </w:r>
      <w:r>
        <w:rPr>
          <w:rFonts w:hint="eastAsia" w:ascii="仿宋_GB2312" w:hAnsi="Times New Roman" w:eastAsia="仿宋_GB2312" w:cs="Times New Roman"/>
          <w:kern w:val="2"/>
          <w:lang w:val="en-US" w:bidi="ar-SA"/>
        </w:rPr>
        <w:drawing>
          <wp:inline distT="0" distB="0" distL="0" distR="0">
            <wp:extent cx="85725" cy="155575"/>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bidi="ar-SA"/>
        </w:rPr>
        <w:t>，其中：授予小微企业合同金额</w:t>
      </w:r>
      <w:r>
        <w:rPr>
          <w:rFonts w:hint="eastAsia" w:ascii="仿宋_GB2312" w:hAnsi="Times New Roman" w:eastAsia="仿宋_GB2312" w:cs="Times New Roman"/>
          <w:kern w:val="2"/>
          <w:lang w:val="en-US" w:eastAsia="zh-CN" w:bidi="ar-SA"/>
        </w:rPr>
        <w:t>136.73</w:t>
      </w:r>
      <w:r>
        <w:rPr>
          <w:rFonts w:hint="eastAsia" w:ascii="仿宋_GB2312" w:hAnsi="Times New Roman" w:eastAsia="仿宋_GB2312" w:cs="Times New Roman"/>
          <w:kern w:val="2"/>
          <w:lang w:bidi="ar-SA"/>
        </w:rPr>
        <w:t>万元，占政府采购支出总额的</w:t>
      </w:r>
      <w:r>
        <w:rPr>
          <w:rFonts w:hint="eastAsia" w:ascii="仿宋_GB2312" w:hAnsi="Times New Roman" w:eastAsia="仿宋_GB2312" w:cs="Times New Roman"/>
          <w:kern w:val="2"/>
          <w:lang w:val="en-US" w:eastAsia="zh-CN" w:bidi="ar-SA"/>
        </w:rPr>
        <w:t>4.51</w:t>
      </w:r>
      <w:r>
        <w:rPr>
          <w:rFonts w:hint="eastAsia" w:ascii="仿宋_GB2312" w:hAnsi="Times New Roman" w:eastAsia="仿宋_GB2312" w:cs="Times New Roman"/>
          <w:kern w:val="2"/>
          <w:lang w:val="en-US" w:bidi="ar-SA"/>
        </w:rPr>
        <w:drawing>
          <wp:inline distT="0" distB="0" distL="0" distR="0">
            <wp:extent cx="85725" cy="155575"/>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bidi="ar-SA"/>
        </w:rPr>
        <w:t>。</w:t>
      </w:r>
      <w:r>
        <w:rPr>
          <w:rFonts w:hint="eastAsia" w:ascii="仿宋_GB2312" w:eastAsia="仿宋_GB2312" w:cs="仿宋_GB2312"/>
          <w:highlight w:val="none"/>
        </w:rPr>
        <w:t>货物采购授予中小企业合同金额占货物支出金额</w:t>
      </w:r>
      <w:r>
        <w:rPr>
          <w:rFonts w:hint="eastAsia" w:ascii="仿宋_GB2312" w:eastAsia="仿宋_GB2312" w:cs="仿宋_GB2312"/>
          <w:highlight w:val="none"/>
          <w:lang w:val="en-US" w:eastAsia="zh-CN"/>
        </w:rPr>
        <w:t>75.93</w:t>
      </w:r>
      <w:r>
        <w:rPr>
          <w:rFonts w:hint="eastAsia" w:ascii="仿宋_GB2312" w:eastAsia="仿宋_GB2312" w:cs="仿宋_GB2312"/>
          <w:highlight w:val="none"/>
        </w:rPr>
        <w:t>%；工程采购授予中小企业合同金额占工程支出金额的</w:t>
      </w:r>
      <w:r>
        <w:rPr>
          <w:rFonts w:hint="eastAsia" w:ascii="仿宋_GB2312" w:eastAsia="仿宋_GB2312" w:cs="仿宋_GB2312"/>
          <w:highlight w:val="none"/>
          <w:lang w:val="en-US" w:eastAsia="zh-CN"/>
        </w:rPr>
        <w:t>0</w:t>
      </w:r>
      <w:r>
        <w:rPr>
          <w:rFonts w:hint="eastAsia" w:ascii="仿宋_GB2312" w:eastAsia="仿宋_GB2312" w:cs="仿宋_GB2312"/>
          <w:highlight w:val="none"/>
        </w:rPr>
        <w:t>%；服务采购授予中小企业合同金额占服务支出金额的</w:t>
      </w:r>
      <w:r>
        <w:rPr>
          <w:rFonts w:hint="eastAsia" w:ascii="仿宋_GB2312" w:eastAsia="仿宋_GB2312" w:cs="仿宋_GB2312"/>
          <w:highlight w:val="none"/>
          <w:lang w:val="en-US"/>
        </w:rPr>
        <w:t>100</w:t>
      </w:r>
      <w:r>
        <w:rPr>
          <w:rFonts w:hint="eastAsia" w:ascii="仿宋_GB2312" w:eastAsia="仿宋_GB2312" w:cs="仿宋_GB2312"/>
          <w:highlight w:val="none"/>
        </w:rPr>
        <w:t>%。</w:t>
      </w:r>
    </w:p>
    <w:p w14:paraId="659F6132">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（三）国有资产占用情况说明。</w:t>
      </w:r>
    </w:p>
    <w:p w14:paraId="1FA118BA">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截至20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bidi="ar-SA"/>
        </w:rPr>
        <w:t>年12月31日，本单位共有车辆</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bidi="ar-SA"/>
        </w:rPr>
        <w:t>辆，其中，副部（省）级领导干部用车0辆、主要领导干部用车</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辆、机要通信用车0辆、应急保障用车</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辆、执法执勤用车0辆、特种专业技术用车</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辆、离退休干部用车0辆、其他用车</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bidi="ar-SA"/>
        </w:rPr>
        <w:t>辆， 其他用车主要是用于开展教育教学业务用车；单位价值50万元以上通用设备</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台（套）；单位价值100万元以上专用设备</w:t>
      </w:r>
      <w:r>
        <w:rPr>
          <w:rFonts w:hint="eastAsia" w:ascii="仿宋_GB2312" w:hAnsi="Times New Roman" w:eastAsia="仿宋_GB2312" w:cs="Times New Roman"/>
          <w:kern w:val="2"/>
          <w:lang w:val="en-US" w:eastAsia="zh-CN" w:bidi="ar-SA"/>
        </w:rPr>
        <w:t>5</w:t>
      </w:r>
      <w:r>
        <w:rPr>
          <w:rFonts w:hint="eastAsia" w:ascii="仿宋_GB2312" w:hAnsi="Times New Roman" w:eastAsia="仿宋_GB2312" w:cs="Times New Roman"/>
          <w:kern w:val="2"/>
          <w:lang w:val="en-US" w:bidi="ar-SA"/>
        </w:rPr>
        <w:t>台(</w:t>
      </w:r>
      <w:r>
        <w:rPr>
          <w:rFonts w:hint="eastAsia" w:ascii="仿宋_GB2312" w:hAnsi="Times New Roman" w:eastAsia="仿宋_GB2312" w:cs="Times New Roman"/>
          <w:kern w:val="2"/>
          <w:lang w:bidi="ar-SA"/>
        </w:rPr>
        <w:t>套）。</w:t>
      </w:r>
    </w:p>
    <w:p w14:paraId="69EA930F">
      <w:pPr>
        <w:pStyle w:val="4"/>
        <w:spacing w:before="150" w:line="328" w:lineRule="auto"/>
        <w:ind w:right="273" w:firstLine="640"/>
        <w:rPr>
          <w:rFonts w:ascii="仿宋_GB2312" w:hAnsi="Times New Roman" w:eastAsia="仿宋_GB2312" w:cs="Times New Roman"/>
          <w:b/>
          <w:bCs/>
          <w:kern w:val="2"/>
          <w:highlight w:val="none"/>
          <w:lang w:bidi="ar-SA"/>
        </w:rPr>
      </w:pPr>
      <w:r>
        <w:rPr>
          <w:rFonts w:hint="eastAsia" w:ascii="仿宋_GB2312" w:hAnsi="Times New Roman" w:eastAsia="仿宋_GB2312" w:cs="Times New Roman"/>
          <w:b/>
          <w:bCs/>
          <w:kern w:val="2"/>
          <w:highlight w:val="none"/>
          <w:lang w:bidi="ar-SA"/>
        </w:rPr>
        <w:t>八、预算绩效管理工作开展情况</w:t>
      </w:r>
    </w:p>
    <w:p w14:paraId="605AE776">
      <w:pPr>
        <w:pStyle w:val="4"/>
        <w:spacing w:before="150"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eastAsia="zh-CN" w:bidi="ar-SA"/>
        </w:rPr>
        <w:t>1</w:t>
      </w:r>
      <w:r>
        <w:rPr>
          <w:rFonts w:hint="eastAsia" w:ascii="仿宋_GB2312" w:hAnsi="Times New Roman" w:eastAsia="仿宋_GB2312" w:cs="Times New Roman"/>
          <w:kern w:val="2"/>
          <w:lang w:val="en-US" w:bidi="ar-SA"/>
        </w:rPr>
        <w:t>.项目</w:t>
      </w:r>
      <w:r>
        <w:rPr>
          <w:rFonts w:hint="eastAsia" w:ascii="仿宋_GB2312" w:hAnsi="Times New Roman" w:eastAsia="仿宋_GB2312" w:cs="Times New Roman"/>
          <w:kern w:val="2"/>
          <w:lang w:val="en-US" w:eastAsia="zh-CN" w:bidi="ar-SA"/>
        </w:rPr>
        <w:t>支出</w:t>
      </w:r>
      <w:r>
        <w:rPr>
          <w:rFonts w:hint="eastAsia" w:ascii="仿宋_GB2312" w:hAnsi="Times New Roman" w:eastAsia="仿宋_GB2312" w:cs="Times New Roman"/>
          <w:kern w:val="2"/>
          <w:lang w:val="en-US" w:bidi="ar-SA"/>
        </w:rPr>
        <w:t>绩效自评结果</w:t>
      </w:r>
    </w:p>
    <w:p w14:paraId="4E921F41">
      <w:pPr>
        <w:pStyle w:val="4"/>
        <w:spacing w:before="150" w:line="328" w:lineRule="auto"/>
        <w:ind w:right="273" w:firstLine="640"/>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rPr>
        <w:t>（</w:t>
      </w:r>
      <w:r>
        <w:rPr>
          <w:rFonts w:hint="eastAsia" w:ascii="仿宋_GB2312" w:eastAsia="仿宋_GB2312" w:cs="仿宋_GB2312"/>
          <w:lang w:val="en-US"/>
        </w:rPr>
        <w:t>1</w:t>
      </w:r>
      <w:r>
        <w:rPr>
          <w:rFonts w:hint="eastAsia" w:ascii="仿宋_GB2312" w:eastAsia="仿宋_GB2312" w:cs="仿宋_GB2312"/>
        </w:rPr>
        <w:t>）项目绩效自评总体情况：</w:t>
      </w:r>
      <w:r>
        <w:rPr>
          <w:rFonts w:hint="eastAsia" w:ascii="仿宋_GB2312" w:hAnsi="Times New Roman" w:eastAsia="仿宋_GB2312" w:cs="Times New Roman"/>
          <w:kern w:val="2"/>
          <w:lang w:bidi="ar-SA"/>
        </w:rPr>
        <w:t>我单位</w:t>
      </w:r>
      <w:r>
        <w:rPr>
          <w:rFonts w:hint="eastAsia" w:ascii="仿宋_GB2312" w:hAnsi="Times New Roman" w:eastAsia="仿宋_GB2312" w:cs="Times New Roman"/>
          <w:kern w:val="2"/>
          <w:lang w:val="en-US" w:eastAsia="zh-CN" w:bidi="ar-SA"/>
        </w:rPr>
        <w:t>2024年度项目24个，项目支出总额4011.22万元。</w:t>
      </w:r>
      <w:r>
        <w:rPr>
          <w:rFonts w:hint="eastAsia" w:ascii="仿宋_GB2312" w:hAnsi="Times New Roman" w:eastAsia="仿宋_GB2312" w:cs="仿宋_GB2312"/>
          <w:b w:val="0"/>
          <w:bCs w:val="0"/>
          <w:caps w:val="0"/>
          <w:color w:val="auto"/>
          <w:kern w:val="0"/>
          <w:sz w:val="32"/>
          <w:szCs w:val="32"/>
          <w:vertAlign w:val="baseline"/>
          <w:lang w:val="en-US" w:eastAsia="zh-CN" w:bidi="ar"/>
        </w:rPr>
        <w:t>其中，本级项目</w:t>
      </w:r>
      <w:r>
        <w:rPr>
          <w:rFonts w:hint="eastAsia" w:ascii="仿宋_GB2312" w:eastAsia="仿宋_GB2312" w:cs="仿宋_GB2312"/>
          <w:kern w:val="0"/>
          <w:sz w:val="32"/>
          <w:szCs w:val="32"/>
          <w:lang w:val="en-US" w:eastAsia="zh-CN"/>
        </w:rPr>
        <w:t>24</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hAnsi="Times New Roman" w:eastAsia="仿宋_GB2312" w:cs="Times New Roman"/>
          <w:kern w:val="2"/>
          <w:lang w:val="en-US" w:eastAsia="zh-CN" w:bidi="ar-SA"/>
        </w:rPr>
        <w:t>4011.22</w:t>
      </w:r>
      <w:r>
        <w:rPr>
          <w:rFonts w:hint="eastAsia" w:ascii="仿宋_GB2312" w:hAnsi="Times New Roman" w:eastAsia="仿宋_GB2312" w:cs="仿宋_GB2312"/>
          <w:b w:val="0"/>
          <w:bCs w:val="0"/>
          <w:caps w:val="0"/>
          <w:color w:val="auto"/>
          <w:kern w:val="0"/>
          <w:sz w:val="32"/>
          <w:szCs w:val="32"/>
          <w:vertAlign w:val="baseline"/>
          <w:lang w:val="en-US" w:eastAsia="zh-CN" w:bidi="ar"/>
        </w:rPr>
        <w:t>万元；无对下转移支付项目。</w:t>
      </w:r>
    </w:p>
    <w:p w14:paraId="2B9B35AF">
      <w:pPr>
        <w:pStyle w:val="4"/>
        <w:spacing w:before="150" w:line="328" w:lineRule="auto"/>
        <w:ind w:right="273" w:firstLine="640"/>
        <w:rPr>
          <w:rFonts w:hint="default" w:ascii="仿宋_GB2312" w:hAnsi="Times New Roman" w:eastAsia="仿宋_GB2312" w:cs="Times New Roman"/>
          <w:kern w:val="2"/>
          <w:lang w:val="en-US" w:eastAsia="zh-CN" w:bidi="ar-SA"/>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w:t>
      </w:r>
      <w:r>
        <w:rPr>
          <w:rFonts w:hint="eastAsia" w:ascii="仿宋_GB2312" w:eastAsia="仿宋_GB2312" w:cs="仿宋_GB2312"/>
          <w:kern w:val="0"/>
          <w:sz w:val="32"/>
          <w:szCs w:val="32"/>
          <w:lang w:val="en-US" w:eastAsia="zh-CN"/>
        </w:rPr>
        <w:t>22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4001.32</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91.67</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99.75</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9.90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8.33</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0.25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w:t>
      </w:r>
      <w:r>
        <w:rPr>
          <w:rFonts w:hint="eastAsia" w:ascii="仿宋_GB2312" w:hAnsi="Times New Roman" w:eastAsia="仿宋_GB2312" w:cs="Times New Roman"/>
          <w:kern w:val="2"/>
          <w:lang w:bidi="ar-SA"/>
        </w:rPr>
        <w:t>发现的主要问题及原因：</w:t>
      </w:r>
      <w:r>
        <w:rPr>
          <w:rFonts w:hint="eastAsia" w:ascii="仿宋_GB2312" w:hAnsi="仿宋_GB2312" w:eastAsia="仿宋_GB2312" w:cs="仿宋_GB2312"/>
          <w:sz w:val="32"/>
          <w:szCs w:val="32"/>
          <w:highlight w:val="none"/>
          <w:lang w:val="en-US" w:eastAsia="zh-CN"/>
        </w:rPr>
        <w:t>部份绩效指标存在评价标准难以量化，指标值难以获取，指标设置不够全面，代表性不足等问题；绩效目标运行监控力度有待加强，个别项目年中进行预算调整，但是绩效指标未及时调整，导致绩效指标匹配性不够高。</w:t>
      </w:r>
      <w:r>
        <w:rPr>
          <w:rFonts w:hint="eastAsia" w:ascii="仿宋_GB2312" w:hAnsi="Times New Roman" w:eastAsia="仿宋_GB2312" w:cs="Times New Roman"/>
          <w:kern w:val="2"/>
          <w:lang w:bidi="ar-SA"/>
        </w:rPr>
        <w:t>下一步改进措施：</w:t>
      </w:r>
      <w:r>
        <w:rPr>
          <w:rFonts w:hint="eastAsia" w:ascii="仿宋_GB2312" w:hAnsi="Times New Roman" w:eastAsia="仿宋_GB2312" w:cs="Times New Roman"/>
          <w:kern w:val="2"/>
          <w:lang w:val="en-US" w:eastAsia="zh-CN" w:bidi="ar-SA"/>
        </w:rPr>
        <w:t>加强培训学习，提高绩效指标编制科学性合理性；及时动态调整项目绩效目标及指标内容，使绩效管理更科学合理。</w:t>
      </w:r>
    </w:p>
    <w:p w14:paraId="0481E940">
      <w:pPr>
        <w:numPr>
          <w:ilvl w:val="0"/>
          <w:numId w:val="2"/>
        </w:numPr>
        <w:adjustRightInd w:val="0"/>
        <w:spacing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US"/>
        </w:rPr>
        <w:t>部分重点</w:t>
      </w:r>
      <w:r>
        <w:rPr>
          <w:rFonts w:hint="eastAsia" w:ascii="仿宋_GB2312" w:eastAsia="仿宋_GB2312" w:cs="仿宋_GB2312"/>
          <w:sz w:val="32"/>
          <w:szCs w:val="32"/>
        </w:rPr>
        <w:t>项目绩效自评情况：根据设定的绩效目标，</w:t>
      </w:r>
      <w:r>
        <w:rPr>
          <w:rFonts w:hint="eastAsia" w:ascii="仿宋_GB2312" w:eastAsia="仿宋_GB2312" w:cs="仿宋_GB2312"/>
          <w:sz w:val="32"/>
          <w:szCs w:val="32"/>
          <w:lang w:eastAsia="zh-CN"/>
        </w:rPr>
        <w:t>“</w:t>
      </w:r>
      <w:r>
        <w:rPr>
          <w:rFonts w:hint="eastAsia" w:ascii="仿宋_GB2312" w:eastAsia="仿宋_GB2312" w:cs="仿宋_GB2312"/>
          <w:sz w:val="32"/>
          <w:szCs w:val="32"/>
        </w:rPr>
        <w:t>新校区建设专项经费</w:t>
      </w:r>
      <w:r>
        <w:rPr>
          <w:rFonts w:hint="eastAsia" w:ascii="仿宋_GB2312" w:eastAsia="仿宋_GB2312" w:cs="仿宋_GB2312"/>
          <w:sz w:val="32"/>
          <w:szCs w:val="32"/>
          <w:lang w:eastAsia="zh-CN"/>
        </w:rPr>
        <w:t>”</w:t>
      </w:r>
      <w:r>
        <w:rPr>
          <w:rFonts w:hint="eastAsia" w:ascii="仿宋_GB2312" w:eastAsia="仿宋_GB2312" w:cs="仿宋_GB2312"/>
          <w:sz w:val="32"/>
          <w:szCs w:val="32"/>
        </w:rPr>
        <w:t>自评得分为</w:t>
      </w:r>
      <w:r>
        <w:rPr>
          <w:rFonts w:hint="eastAsia" w:ascii="仿宋_GB2312" w:eastAsia="仿宋_GB2312" w:cs="仿宋_GB2312"/>
          <w:sz w:val="32"/>
          <w:szCs w:val="32"/>
          <w:lang w:val="en-US"/>
        </w:rPr>
        <w:t>100</w:t>
      </w:r>
      <w:r>
        <w:rPr>
          <w:rFonts w:hint="eastAsia" w:ascii="仿宋_GB2312" w:eastAsia="仿宋_GB2312" w:cs="仿宋_GB2312"/>
          <w:sz w:val="32"/>
          <w:szCs w:val="32"/>
        </w:rPr>
        <w:t xml:space="preserve"> 分，</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val="en-US"/>
        </w:rPr>
        <w:t>等</w:t>
      </w:r>
      <w:r>
        <w:rPr>
          <w:rFonts w:hint="eastAsia" w:ascii="仿宋_GB2312" w:eastAsia="仿宋_GB2312" w:cs="仿宋_GB2312"/>
          <w:sz w:val="32"/>
          <w:szCs w:val="32"/>
        </w:rPr>
        <w:t>，项目全年预算数为</w:t>
      </w:r>
      <w:r>
        <w:rPr>
          <w:rFonts w:hint="eastAsia" w:ascii="仿宋_GB2312" w:eastAsia="仿宋_GB2312" w:cs="仿宋_GB2312"/>
          <w:sz w:val="32"/>
          <w:szCs w:val="32"/>
          <w:lang w:val="en-US" w:eastAsia="zh-CN"/>
        </w:rPr>
        <w:t>450</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89.89</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19.97</w:t>
      </w:r>
      <w:r>
        <w:rPr>
          <w:rFonts w:hint="eastAsia" w:ascii="仿宋_GB2312" w:eastAsia="仿宋_GB2312" w:cs="仿宋_GB2312"/>
          <w:sz w:val="32"/>
          <w:szCs w:val="32"/>
        </w:rPr>
        <w:t>%。项目绩效目标完成情况：一是</w:t>
      </w:r>
      <w:r>
        <w:rPr>
          <w:rFonts w:hint="eastAsia" w:ascii="仿宋_GB2312" w:eastAsia="仿宋_GB2312" w:cs="仿宋_GB2312"/>
          <w:sz w:val="32"/>
          <w:szCs w:val="32"/>
          <w:lang w:val="en-US" w:eastAsia="zh-CN"/>
        </w:rPr>
        <w:t>开展了食堂综合楼及田径运动场项目建设，完成田径运动场的建设工作</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二是已完工项目验收质量合格</w:t>
      </w:r>
      <w:r>
        <w:rPr>
          <w:rFonts w:hint="eastAsia" w:ascii="仿宋_GB2312" w:eastAsia="仿宋_GB2312" w:cs="仿宋_GB2312"/>
          <w:sz w:val="32"/>
          <w:szCs w:val="32"/>
          <w:lang w:val="en-US"/>
        </w:rPr>
        <w:t>；三是</w:t>
      </w:r>
      <w:r>
        <w:rPr>
          <w:rFonts w:hint="eastAsia" w:ascii="仿宋_GB2312" w:eastAsia="仿宋_GB2312" w:cs="仿宋_GB2312"/>
          <w:sz w:val="32"/>
          <w:szCs w:val="32"/>
          <w:lang w:val="en-US" w:eastAsia="zh-CN"/>
        </w:rPr>
        <w:t>师生满意度达到预期</w:t>
      </w:r>
      <w:r>
        <w:rPr>
          <w:rFonts w:hint="eastAsia" w:ascii="仿宋_GB2312" w:eastAsia="仿宋_GB2312" w:cs="仿宋_GB2312"/>
          <w:sz w:val="32"/>
          <w:szCs w:val="32"/>
        </w:rPr>
        <w:t>。自评发现的主要问题及原因：</w:t>
      </w:r>
      <w:r>
        <w:rPr>
          <w:rFonts w:hint="eastAsia" w:ascii="仿宋_GB2312" w:eastAsia="仿宋_GB2312" w:cs="仿宋_GB2312"/>
          <w:sz w:val="32"/>
          <w:szCs w:val="32"/>
          <w:lang w:val="en-US" w:eastAsia="zh-CN"/>
        </w:rPr>
        <w:t>预算执行率偏低，主要原因是该项目建设周期为两年。2024年3月根据政府投资项目提级论证工作的要求，原计划3月初开工延后至5月6日，开工后，项目所在地降雨频繁并伴有强降雨，天无三日晴，导致项目的田径运动场室外工程部分施工作业进展受到影响，对应的工期和工程款拨付随之延后，2024年度支付项目进度款89.89万元，剩余项目资金360.11万元，按规定结转到2025年使用。</w:t>
      </w:r>
      <w:r>
        <w:rPr>
          <w:rFonts w:hint="eastAsia" w:ascii="仿宋_GB2312" w:eastAsia="仿宋_GB2312" w:cs="仿宋_GB2312"/>
          <w:sz w:val="32"/>
          <w:szCs w:val="32"/>
        </w:rPr>
        <w:t>下一步改进措施：</w:t>
      </w:r>
      <w:r>
        <w:rPr>
          <w:rFonts w:hint="eastAsia" w:ascii="仿宋_GB2312" w:eastAsia="仿宋_GB2312" w:cs="仿宋_GB2312"/>
          <w:sz w:val="32"/>
          <w:szCs w:val="32"/>
          <w:lang w:val="en-US" w:eastAsia="zh-CN"/>
        </w:rPr>
        <w:t>加强</w:t>
      </w:r>
      <w:r>
        <w:rPr>
          <w:rFonts w:hint="eastAsia" w:ascii="仿宋_GB2312" w:hAnsi="仿宋_GB2312" w:eastAsia="仿宋_GB2312" w:cs="仿宋_GB2312"/>
          <w:sz w:val="32"/>
          <w:szCs w:val="32"/>
          <w:highlight w:val="none"/>
          <w:lang w:val="en-US" w:eastAsia="zh-CN"/>
        </w:rPr>
        <w:t>绩效运行监控工作，及时掌握项目支出绩效目标实现情况，进一步提高资金执行效率。</w:t>
      </w:r>
    </w:p>
    <w:p w14:paraId="4A2C8D6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val="en-US" w:eastAsia="zh-CN" w:bidi="ar"/>
        </w:rPr>
      </w:pPr>
      <w:r>
        <w:rPr>
          <w:rFonts w:hint="eastAsia" w:ascii="仿宋_GB2312" w:hAnsi="Times New Roman" w:eastAsia="仿宋_GB2312" w:cs="仿宋_GB2312"/>
          <w:caps w:val="0"/>
          <w:color w:val="auto"/>
          <w:kern w:val="0"/>
          <w:sz w:val="32"/>
          <w:szCs w:val="32"/>
          <w:highlight w:val="none"/>
          <w:vertAlign w:val="baseline"/>
          <w:lang w:val="en-US" w:eastAsia="zh-CN" w:bidi="ar"/>
        </w:rPr>
        <w:t>2.财政绩效评价结果。</w:t>
      </w:r>
      <w:bookmarkStart w:id="0" w:name="_GoBack"/>
      <w:bookmarkEnd w:id="0"/>
    </w:p>
    <w:p w14:paraId="30C3996B">
      <w:pPr>
        <w:autoSpaceDE w:val="0"/>
        <w:autoSpaceDN w:val="0"/>
        <w:adjustRightInd w:val="0"/>
        <w:spacing w:line="560" w:lineRule="exact"/>
        <w:ind w:firstLine="640" w:firstLineChars="200"/>
        <w:rPr>
          <w:rFonts w:hint="eastAsia" w:ascii="仿宋_GB2312" w:eastAsia="仿宋_GB2312" w:cs="仿宋_GB2312"/>
          <w:sz w:val="32"/>
          <w:szCs w:val="32"/>
        </w:rPr>
      </w:pPr>
      <w:r>
        <w:rPr>
          <w:rFonts w:hint="eastAsia" w:ascii="FangSong_GB2312" w:hAnsi="FangSong_GB2312" w:eastAsia="FangSong_GB2312" w:cs="FangSong_GB2312"/>
          <w:color w:val="auto"/>
          <w:kern w:val="0"/>
          <w:sz w:val="32"/>
          <w:szCs w:val="32"/>
          <w:highlight w:val="none"/>
        </w:rPr>
        <w:t>我单位202</w:t>
      </w:r>
      <w:r>
        <w:rPr>
          <w:rFonts w:hint="eastAsia" w:ascii="FangSong_GB2312" w:hAnsi="FangSong_GB2312" w:eastAsia="FangSong_GB2312" w:cs="FangSong_GB2312"/>
          <w:color w:val="auto"/>
          <w:kern w:val="0"/>
          <w:sz w:val="32"/>
          <w:szCs w:val="32"/>
          <w:highlight w:val="none"/>
          <w:lang w:val="en-US" w:eastAsia="zh-CN"/>
        </w:rPr>
        <w:t>4</w:t>
      </w:r>
      <w:r>
        <w:rPr>
          <w:rFonts w:hint="eastAsia" w:ascii="FangSong_GB2312" w:hAnsi="FangSong_GB2312" w:eastAsia="FangSong_GB2312" w:cs="FangSong_GB2312"/>
          <w:color w:val="auto"/>
          <w:kern w:val="0"/>
          <w:sz w:val="32"/>
          <w:szCs w:val="32"/>
          <w:highlight w:val="none"/>
        </w:rPr>
        <w:t>年度部门预算不涉及财政绩效评价。</w:t>
      </w:r>
    </w:p>
    <w:p w14:paraId="73D11BE9">
      <w:pPr>
        <w:pStyle w:val="4"/>
        <w:tabs>
          <w:tab w:val="left" w:pos="1600"/>
        </w:tabs>
        <w:spacing w:before="1"/>
        <w:ind w:left="0" w:right="198" w:firstLine="640" w:firstLineChars="200"/>
        <w:jc w:val="both"/>
        <w:rPr>
          <w:rFonts w:ascii="黑体" w:eastAsia="黑体"/>
        </w:rPr>
      </w:pPr>
    </w:p>
    <w:p w14:paraId="2948E517">
      <w:pPr>
        <w:pStyle w:val="4"/>
        <w:tabs>
          <w:tab w:val="left" w:pos="1600"/>
        </w:tabs>
        <w:spacing w:before="1"/>
        <w:ind w:left="0" w:right="198" w:firstLine="640" w:firstLineChars="200"/>
        <w:jc w:val="both"/>
        <w:rPr>
          <w:rFonts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50E7F932">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一、财政拨款收入：指自治区财政部门当年拨付的资金。 </w:t>
      </w:r>
    </w:p>
    <w:p w14:paraId="67FB587B">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二、事业收入：指事业单位开展专业业务活动及辅助活动所取得的收入。</w:t>
      </w:r>
    </w:p>
    <w:p w14:paraId="070FD041">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三、经营收入：指事业单位在专业业务活动及其辅助活动之外开展非独立核算经营活动取得的收入。</w:t>
      </w:r>
    </w:p>
    <w:p w14:paraId="6640A53A">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四、其他收入：指除上述“财政拨款收入”“事业收入”“经营收入”等以外的收入。</w:t>
      </w:r>
    </w:p>
    <w:p w14:paraId="63416EE7">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五、用事业基金弥补收支差额指事业单位在当年的“财政拨款收入”“事业收入”“经营收入”“其他收入”不足以安排当年支出的情况下，使用非财政拨款结余弥补本年度收支缺口的资金。 </w:t>
      </w:r>
    </w:p>
    <w:p w14:paraId="2A39C5B9">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六、年初结转和结余：指以前年度尚未完成、结转到本年 按有关规定继续使用的资金。 </w:t>
      </w:r>
    </w:p>
    <w:p w14:paraId="224ABCA4">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七、结余分配：指事业单位按规定提取的职工福利基金、事业基金和缴纳的所得税，以及建设单位按规定应交回的基本建设竣工项目结余资金。 </w:t>
      </w:r>
    </w:p>
    <w:p w14:paraId="1F41389A">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八、年末结转和结余：指本年度或以前年度预算安排、因客观条件发生变化无法按原计划实施，需要延迟到以后年度按有关规定继续使用的资金。 </w:t>
      </w:r>
    </w:p>
    <w:p w14:paraId="400D3F51">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九、基本支出：指为保障机构正常运转、完成日常工作任务而发生的人员支出和公用支出。 </w:t>
      </w:r>
    </w:p>
    <w:p w14:paraId="1542B514">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十、项目支出：指在基本支出之外为完成特定行政任务和事业发展目标所发生的支出。 </w:t>
      </w:r>
    </w:p>
    <w:p w14:paraId="76EF81A1">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十一、经营支出：指事业单位在专业业务活动及其辅助活动之外开展非独立核算经营活动发生的支出。</w:t>
      </w:r>
    </w:p>
    <w:p w14:paraId="72116AEB">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CDD810E">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C27248">
      <w:pPr>
        <w:pStyle w:val="4"/>
        <w:spacing w:before="150"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附件1：广西新闻出版</w:t>
      </w:r>
      <w:r>
        <w:rPr>
          <w:rFonts w:hint="eastAsia" w:ascii="仿宋_GB2312" w:hAnsi="Times New Roman" w:eastAsia="仿宋_GB2312" w:cs="Times New Roman"/>
          <w:kern w:val="2"/>
          <w:lang w:val="en-US" w:eastAsia="zh-CN" w:bidi="ar-SA"/>
        </w:rPr>
        <w:t>高级</w:t>
      </w:r>
      <w:r>
        <w:rPr>
          <w:rFonts w:hint="eastAsia" w:ascii="仿宋_GB2312" w:hAnsi="Times New Roman" w:eastAsia="仿宋_GB2312" w:cs="Times New Roman"/>
          <w:kern w:val="2"/>
          <w:lang w:val="en-US" w:bidi="ar-SA"/>
        </w:rPr>
        <w:t>技工学校202</w:t>
      </w:r>
      <w:r>
        <w:rPr>
          <w:rFonts w:hint="eastAsia" w:ascii="仿宋_GB2312" w:hAnsi="Times New Roman" w:eastAsia="仿宋_GB2312" w:cs="Times New Roman"/>
          <w:kern w:val="2"/>
          <w:lang w:val="en-US" w:eastAsia="zh-CN" w:bidi="ar-SA"/>
        </w:rPr>
        <w:t>4</w:t>
      </w:r>
      <w:r>
        <w:rPr>
          <w:rFonts w:hint="eastAsia" w:ascii="仿宋_GB2312" w:hAnsi="Times New Roman" w:eastAsia="仿宋_GB2312" w:cs="Times New Roman"/>
          <w:kern w:val="2"/>
          <w:lang w:val="en-US" w:bidi="ar-SA"/>
        </w:rPr>
        <w:t>年度部门决算公开附表</w:t>
      </w:r>
    </w:p>
    <w:p w14:paraId="739AC69C">
      <w:pPr>
        <w:pStyle w:val="4"/>
        <w:spacing w:before="150" w:line="328" w:lineRule="auto"/>
        <w:ind w:right="273" w:firstLine="640"/>
        <w:rPr>
          <w:rFonts w:ascii="仿宋_GB2312" w:hAnsi="Times New Roman" w:eastAsia="仿宋_GB2312" w:cs="Times New Roman"/>
          <w:kern w:val="2"/>
          <w:lang w:val="en-US" w:bidi="ar-SA"/>
        </w:rPr>
      </w:pPr>
    </w:p>
    <w:sectPr>
      <w:footerReference r:id="rId3" w:type="default"/>
      <w:footerReference r:id="rId4" w:type="even"/>
      <w:pgSz w:w="11910" w:h="16840"/>
      <w:pgMar w:top="1701" w:right="1474" w:bottom="1247" w:left="1587" w:header="0" w:footer="1321"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C20085-1D63-4C28-8C17-96549E3AC8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embedRegular r:id="rId2" w:fontKey="{8937031A-A162-4813-9612-C9112B140BCB}"/>
  </w:font>
  <w:font w:name="方正小标宋简体">
    <w:panose1 w:val="02000000000000000000"/>
    <w:charset w:val="86"/>
    <w:family w:val="script"/>
    <w:pitch w:val="default"/>
    <w:sig w:usb0="00000001" w:usb1="08000000" w:usb2="00000000" w:usb3="00000000" w:csb0="00040000" w:csb1="00000000"/>
    <w:embedRegular r:id="rId3" w:fontKey="{6A2EA5F2-0354-4FB2-A741-59F8176118F2}"/>
  </w:font>
  <w:font w:name="ArialUnicodeMS">
    <w:altName w:val="方正小标宋简体"/>
    <w:panose1 w:val="00000000000000000000"/>
    <w:charset w:val="86"/>
    <w:family w:val="auto"/>
    <w:pitch w:val="default"/>
    <w:sig w:usb0="00000000" w:usb1="00000000" w:usb2="00000010" w:usb3="00000000" w:csb0="00040000" w:csb1="00000000"/>
    <w:embedRegular r:id="rId4" w:fontKey="{A683CC1C-81CE-4CE7-AB33-9089A36FC218}"/>
  </w:font>
  <w:font w:name="仿宋_GB2312">
    <w:altName w:val="仿宋"/>
    <w:panose1 w:val="02010609030101010101"/>
    <w:charset w:val="86"/>
    <w:family w:val="modern"/>
    <w:pitch w:val="default"/>
    <w:sig w:usb0="00000000" w:usb1="00000000" w:usb2="00000010" w:usb3="00000000" w:csb0="00040000" w:csb1="00000000"/>
    <w:embedRegular r:id="rId5" w:fontKey="{D120FFEF-A941-4BA0-B880-8CC2C23B3A00}"/>
  </w:font>
  <w:font w:name="仿宋">
    <w:panose1 w:val="02010609060101010101"/>
    <w:charset w:val="86"/>
    <w:family w:val="auto"/>
    <w:pitch w:val="default"/>
    <w:sig w:usb0="800002BF" w:usb1="38CF7CFA" w:usb2="00000016" w:usb3="00000000" w:csb0="00040001" w:csb1="00000000"/>
    <w:embedRegular r:id="rId6" w:fontKey="{400F7B4E-EFBE-451A-9BAD-5D30CD8D6F3F}"/>
  </w:font>
  <w:font w:name="FangSong_GB2312">
    <w:altName w:val="仿宋"/>
    <w:panose1 w:val="02010609060101010101"/>
    <w:charset w:val="86"/>
    <w:family w:val="modern"/>
    <w:pitch w:val="default"/>
    <w:sig w:usb0="00000000" w:usb1="00000000" w:usb2="00000010" w:usb3="00000000" w:csb0="00040000" w:csb1="00000000"/>
    <w:embedRegular r:id="rId7" w:fontKey="{0269FB07-C2E2-493D-834A-5073E252EB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12EC5">
    <w:pPr>
      <w:pStyle w:val="4"/>
      <w:spacing w:line="14" w:lineRule="auto"/>
      <w:ind w:left="0"/>
      <w:rPr>
        <w:sz w:val="20"/>
      </w:rPr>
    </w:pPr>
    <w:r>
      <w:pict>
        <v:shape id="_x0000_s4101" o:spid="_x0000_s4101" o:spt="202" type="#_x0000_t202" style="position:absolute;left:0pt;margin-left:448.55pt;margin-top:764.85pt;height:16.05pt;width:44.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74A68E7">
                <w:pPr>
                  <w:spacing w:line="321" w:lineRule="exact"/>
                  <w:ind w:left="20"/>
                  <w:rPr>
                    <w:sz w:val="28"/>
                  </w:rPr>
                </w:pPr>
                <w:r>
                  <w:rPr>
                    <w:sz w:val="28"/>
                  </w:rPr>
                  <w:t>—</w:t>
                </w:r>
                <w:r>
                  <w:fldChar w:fldCharType="begin"/>
                </w:r>
                <w:r>
                  <w:rPr>
                    <w:sz w:val="28"/>
                  </w:rPr>
                  <w:instrText xml:space="preserve"> PAGE </w:instrText>
                </w:r>
                <w:r>
                  <w:fldChar w:fldCharType="separate"/>
                </w:r>
                <w:r>
                  <w:rPr>
                    <w:sz w:val="28"/>
                  </w:rPr>
                  <w:t>10</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FE6E0">
    <w:pPr>
      <w:pStyle w:val="4"/>
      <w:spacing w:line="14" w:lineRule="auto"/>
      <w:ind w:left="0"/>
      <w:rPr>
        <w:sz w:val="20"/>
      </w:rPr>
    </w:pPr>
    <w:r>
      <w:pict>
        <v:shape id="_x0000_s4102" o:spid="_x0000_s4102" o:spt="202" type="#_x0000_t202" style="position:absolute;left:0pt;margin-left:109.9pt;margin-top:764.85pt;height:16.05pt;width:44.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76C153A">
                <w:pPr>
                  <w:spacing w:line="321" w:lineRule="exact"/>
                  <w:ind w:left="20"/>
                  <w:rPr>
                    <w:sz w:val="28"/>
                  </w:rPr>
                </w:pPr>
                <w:r>
                  <w:rPr>
                    <w:sz w:val="28"/>
                  </w:rPr>
                  <w:t>—</w:t>
                </w:r>
                <w:r>
                  <w:fldChar w:fldCharType="begin"/>
                </w:r>
                <w:r>
                  <w:rPr>
                    <w:sz w:val="28"/>
                  </w:rPr>
                  <w:instrText xml:space="preserve"> PAGE </w:instrText>
                </w:r>
                <w:r>
                  <w:fldChar w:fldCharType="separate"/>
                </w:r>
                <w:r>
                  <w:t>22</w:t>
                </w:r>
                <w:r>
                  <w:fldChar w:fldCharType="end"/>
                </w:r>
                <w:r>
                  <w:rPr>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87E2C"/>
    <w:multiLevelType w:val="singleLevel"/>
    <w:tmpl w:val="F0787E2C"/>
    <w:lvl w:ilvl="0" w:tentative="0">
      <w:start w:val="2"/>
      <w:numFmt w:val="decimal"/>
      <w:suff w:val="nothing"/>
      <w:lvlText w:val="（%1）"/>
      <w:lvlJc w:val="left"/>
    </w:lvl>
  </w:abstractNum>
  <w:abstractNum w:abstractNumId="1">
    <w:nsid w:val="25B654F3"/>
    <w:multiLevelType w:val="multilevel"/>
    <w:tmpl w:val="25B654F3"/>
    <w:lvl w:ilvl="0" w:tentative="0">
      <w:start w:val="4"/>
      <w:numFmt w:val="decimal"/>
      <w:lvlText w:val="%1."/>
      <w:lvlJc w:val="left"/>
      <w:pPr>
        <w:ind w:left="11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982" w:hanging="322"/>
      </w:pPr>
      <w:rPr>
        <w:rFonts w:hint="default"/>
        <w:lang w:val="zh-CN" w:eastAsia="zh-CN" w:bidi="zh-CN"/>
      </w:rPr>
    </w:lvl>
    <w:lvl w:ilvl="2" w:tentative="0">
      <w:start w:val="0"/>
      <w:numFmt w:val="bullet"/>
      <w:lvlText w:val="•"/>
      <w:lvlJc w:val="left"/>
      <w:pPr>
        <w:ind w:left="1845" w:hanging="322"/>
      </w:pPr>
      <w:rPr>
        <w:rFonts w:hint="default"/>
        <w:lang w:val="zh-CN" w:eastAsia="zh-CN" w:bidi="zh-CN"/>
      </w:rPr>
    </w:lvl>
    <w:lvl w:ilvl="3" w:tentative="0">
      <w:start w:val="0"/>
      <w:numFmt w:val="bullet"/>
      <w:lvlText w:val="•"/>
      <w:lvlJc w:val="left"/>
      <w:pPr>
        <w:ind w:left="2707" w:hanging="322"/>
      </w:pPr>
      <w:rPr>
        <w:rFonts w:hint="default"/>
        <w:lang w:val="zh-CN" w:eastAsia="zh-CN" w:bidi="zh-CN"/>
      </w:rPr>
    </w:lvl>
    <w:lvl w:ilvl="4" w:tentative="0">
      <w:start w:val="0"/>
      <w:numFmt w:val="bullet"/>
      <w:lvlText w:val="•"/>
      <w:lvlJc w:val="left"/>
      <w:pPr>
        <w:ind w:left="3570" w:hanging="322"/>
      </w:pPr>
      <w:rPr>
        <w:rFonts w:hint="default"/>
        <w:lang w:val="zh-CN" w:eastAsia="zh-CN" w:bidi="zh-CN"/>
      </w:rPr>
    </w:lvl>
    <w:lvl w:ilvl="5" w:tentative="0">
      <w:start w:val="0"/>
      <w:numFmt w:val="bullet"/>
      <w:lvlText w:val="•"/>
      <w:lvlJc w:val="left"/>
      <w:pPr>
        <w:ind w:left="4433" w:hanging="322"/>
      </w:pPr>
      <w:rPr>
        <w:rFonts w:hint="default"/>
        <w:lang w:val="zh-CN" w:eastAsia="zh-CN" w:bidi="zh-CN"/>
      </w:rPr>
    </w:lvl>
    <w:lvl w:ilvl="6" w:tentative="0">
      <w:start w:val="0"/>
      <w:numFmt w:val="bullet"/>
      <w:lvlText w:val="•"/>
      <w:lvlJc w:val="left"/>
      <w:pPr>
        <w:ind w:left="5295" w:hanging="322"/>
      </w:pPr>
      <w:rPr>
        <w:rFonts w:hint="default"/>
        <w:lang w:val="zh-CN" w:eastAsia="zh-CN" w:bidi="zh-CN"/>
      </w:rPr>
    </w:lvl>
    <w:lvl w:ilvl="7" w:tentative="0">
      <w:start w:val="0"/>
      <w:numFmt w:val="bullet"/>
      <w:lvlText w:val="•"/>
      <w:lvlJc w:val="left"/>
      <w:pPr>
        <w:ind w:left="6158" w:hanging="322"/>
      </w:pPr>
      <w:rPr>
        <w:rFonts w:hint="default"/>
        <w:lang w:val="zh-CN" w:eastAsia="zh-CN" w:bidi="zh-CN"/>
      </w:rPr>
    </w:lvl>
    <w:lvl w:ilvl="8" w:tentative="0">
      <w:start w:val="0"/>
      <w:numFmt w:val="bullet"/>
      <w:lvlText w:val="•"/>
      <w:lvlJc w:val="left"/>
      <w:pPr>
        <w:ind w:left="7021"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EwNTM5NzYwMDRjMzkwZTVkZjY2ODkwMGIxNGU0OTUifQ=="/>
  </w:docVars>
  <w:rsids>
    <w:rsidRoot w:val="002A6B60"/>
    <w:rsid w:val="002A6B60"/>
    <w:rsid w:val="0055574E"/>
    <w:rsid w:val="006619E8"/>
    <w:rsid w:val="00B43E3E"/>
    <w:rsid w:val="010C278D"/>
    <w:rsid w:val="014A102B"/>
    <w:rsid w:val="016D31B5"/>
    <w:rsid w:val="01916216"/>
    <w:rsid w:val="02A13E7A"/>
    <w:rsid w:val="0301396B"/>
    <w:rsid w:val="033C0E47"/>
    <w:rsid w:val="03777E5D"/>
    <w:rsid w:val="03851EE3"/>
    <w:rsid w:val="038A5419"/>
    <w:rsid w:val="04463869"/>
    <w:rsid w:val="047E2744"/>
    <w:rsid w:val="04977C56"/>
    <w:rsid w:val="04AE7B23"/>
    <w:rsid w:val="04E90B5B"/>
    <w:rsid w:val="04F82B4C"/>
    <w:rsid w:val="06922C98"/>
    <w:rsid w:val="06B50144"/>
    <w:rsid w:val="06BB1698"/>
    <w:rsid w:val="06CC689B"/>
    <w:rsid w:val="084D7C9E"/>
    <w:rsid w:val="08564759"/>
    <w:rsid w:val="08971538"/>
    <w:rsid w:val="08E05CD3"/>
    <w:rsid w:val="09093579"/>
    <w:rsid w:val="090D551C"/>
    <w:rsid w:val="092153F6"/>
    <w:rsid w:val="09513E3D"/>
    <w:rsid w:val="098802D5"/>
    <w:rsid w:val="09CE0DF7"/>
    <w:rsid w:val="09F4422A"/>
    <w:rsid w:val="0A454A85"/>
    <w:rsid w:val="0B12538A"/>
    <w:rsid w:val="0C4112ED"/>
    <w:rsid w:val="0CD71937"/>
    <w:rsid w:val="0D3A09F0"/>
    <w:rsid w:val="0D794FD5"/>
    <w:rsid w:val="0E20163B"/>
    <w:rsid w:val="0ED74196"/>
    <w:rsid w:val="0F9E2E3C"/>
    <w:rsid w:val="0FA77AC3"/>
    <w:rsid w:val="110E3C0C"/>
    <w:rsid w:val="11773799"/>
    <w:rsid w:val="118E286E"/>
    <w:rsid w:val="11AB19B7"/>
    <w:rsid w:val="11FC05D4"/>
    <w:rsid w:val="12043B39"/>
    <w:rsid w:val="12E712E5"/>
    <w:rsid w:val="13057160"/>
    <w:rsid w:val="15BB138C"/>
    <w:rsid w:val="1683496B"/>
    <w:rsid w:val="16AD7933"/>
    <w:rsid w:val="18635358"/>
    <w:rsid w:val="186E5327"/>
    <w:rsid w:val="18F554CB"/>
    <w:rsid w:val="193602CC"/>
    <w:rsid w:val="19E44366"/>
    <w:rsid w:val="1AAB26E2"/>
    <w:rsid w:val="1B0678E6"/>
    <w:rsid w:val="1B395513"/>
    <w:rsid w:val="1B5643C8"/>
    <w:rsid w:val="1B574618"/>
    <w:rsid w:val="1B5A1A13"/>
    <w:rsid w:val="1B8B4AFE"/>
    <w:rsid w:val="1C8F5A0F"/>
    <w:rsid w:val="1D1C5E0C"/>
    <w:rsid w:val="1D48246B"/>
    <w:rsid w:val="1D7A3B8C"/>
    <w:rsid w:val="1DA04677"/>
    <w:rsid w:val="1DCD6A22"/>
    <w:rsid w:val="1DE43C6F"/>
    <w:rsid w:val="1E5F5043"/>
    <w:rsid w:val="1FE05585"/>
    <w:rsid w:val="20182FA5"/>
    <w:rsid w:val="20225656"/>
    <w:rsid w:val="20D66A46"/>
    <w:rsid w:val="211D62F5"/>
    <w:rsid w:val="217B2A55"/>
    <w:rsid w:val="21AA3FBC"/>
    <w:rsid w:val="226E0F21"/>
    <w:rsid w:val="22741BC6"/>
    <w:rsid w:val="23151041"/>
    <w:rsid w:val="233562BF"/>
    <w:rsid w:val="233B1137"/>
    <w:rsid w:val="23B52DD0"/>
    <w:rsid w:val="23E9707F"/>
    <w:rsid w:val="248B5FD6"/>
    <w:rsid w:val="24D42836"/>
    <w:rsid w:val="24E86717"/>
    <w:rsid w:val="259B5C26"/>
    <w:rsid w:val="259E68C5"/>
    <w:rsid w:val="25E82A3D"/>
    <w:rsid w:val="263251B0"/>
    <w:rsid w:val="266D2F42"/>
    <w:rsid w:val="26B20955"/>
    <w:rsid w:val="26F92A28"/>
    <w:rsid w:val="272555CB"/>
    <w:rsid w:val="27C97E83"/>
    <w:rsid w:val="285B4B4B"/>
    <w:rsid w:val="28AA7EBB"/>
    <w:rsid w:val="28BD4127"/>
    <w:rsid w:val="28C50E13"/>
    <w:rsid w:val="29AF5F20"/>
    <w:rsid w:val="29B6075C"/>
    <w:rsid w:val="2A0930F7"/>
    <w:rsid w:val="2A141350"/>
    <w:rsid w:val="2A4828F5"/>
    <w:rsid w:val="2A5F7045"/>
    <w:rsid w:val="2A6C6501"/>
    <w:rsid w:val="2B1402E2"/>
    <w:rsid w:val="2B1F547F"/>
    <w:rsid w:val="2B4734CE"/>
    <w:rsid w:val="2B5D3585"/>
    <w:rsid w:val="2BB20342"/>
    <w:rsid w:val="2C8523C9"/>
    <w:rsid w:val="2CB5119F"/>
    <w:rsid w:val="2D2028B6"/>
    <w:rsid w:val="2E015014"/>
    <w:rsid w:val="2E0656C7"/>
    <w:rsid w:val="2E0F2429"/>
    <w:rsid w:val="2E536783"/>
    <w:rsid w:val="2ED316FD"/>
    <w:rsid w:val="2EF66B47"/>
    <w:rsid w:val="2F204FF5"/>
    <w:rsid w:val="2FD61B58"/>
    <w:rsid w:val="309A04AB"/>
    <w:rsid w:val="30DB43F0"/>
    <w:rsid w:val="30E87D95"/>
    <w:rsid w:val="310224D9"/>
    <w:rsid w:val="310E0E7D"/>
    <w:rsid w:val="31440ED2"/>
    <w:rsid w:val="31A17C21"/>
    <w:rsid w:val="31ED65C0"/>
    <w:rsid w:val="32285F6F"/>
    <w:rsid w:val="32600228"/>
    <w:rsid w:val="328264C8"/>
    <w:rsid w:val="32EA06B7"/>
    <w:rsid w:val="34301A6E"/>
    <w:rsid w:val="34391824"/>
    <w:rsid w:val="345F0C0E"/>
    <w:rsid w:val="353C06AF"/>
    <w:rsid w:val="36291A08"/>
    <w:rsid w:val="372A1683"/>
    <w:rsid w:val="37CC034A"/>
    <w:rsid w:val="388911EE"/>
    <w:rsid w:val="38E22445"/>
    <w:rsid w:val="38EB042D"/>
    <w:rsid w:val="39131727"/>
    <w:rsid w:val="39627FB8"/>
    <w:rsid w:val="398B2CA3"/>
    <w:rsid w:val="39C11183"/>
    <w:rsid w:val="39C24EFB"/>
    <w:rsid w:val="39E52D44"/>
    <w:rsid w:val="3A5244D1"/>
    <w:rsid w:val="3A5A4034"/>
    <w:rsid w:val="3B4A0BCA"/>
    <w:rsid w:val="3BDF7995"/>
    <w:rsid w:val="3C5F6375"/>
    <w:rsid w:val="3CD029E3"/>
    <w:rsid w:val="3DDF3B4B"/>
    <w:rsid w:val="3E6D3687"/>
    <w:rsid w:val="3E731CA5"/>
    <w:rsid w:val="3EDC6B0E"/>
    <w:rsid w:val="3EFF5F12"/>
    <w:rsid w:val="3F0670A1"/>
    <w:rsid w:val="3F081602"/>
    <w:rsid w:val="3F2D1069"/>
    <w:rsid w:val="3F6A57DD"/>
    <w:rsid w:val="3FA516F6"/>
    <w:rsid w:val="3FBA6D25"/>
    <w:rsid w:val="3FF63117"/>
    <w:rsid w:val="40480AB6"/>
    <w:rsid w:val="40614B69"/>
    <w:rsid w:val="40BD58D6"/>
    <w:rsid w:val="41546B06"/>
    <w:rsid w:val="42227B4D"/>
    <w:rsid w:val="427115E5"/>
    <w:rsid w:val="42711EE7"/>
    <w:rsid w:val="42B20202"/>
    <w:rsid w:val="42F03386"/>
    <w:rsid w:val="43DF474F"/>
    <w:rsid w:val="440B3AAE"/>
    <w:rsid w:val="44C90A3B"/>
    <w:rsid w:val="44D02189"/>
    <w:rsid w:val="44F100BD"/>
    <w:rsid w:val="45251D98"/>
    <w:rsid w:val="4537567F"/>
    <w:rsid w:val="4546218E"/>
    <w:rsid w:val="456C7C23"/>
    <w:rsid w:val="458E46B3"/>
    <w:rsid w:val="465B2193"/>
    <w:rsid w:val="46747AF7"/>
    <w:rsid w:val="468B47AB"/>
    <w:rsid w:val="469926AF"/>
    <w:rsid w:val="471940D5"/>
    <w:rsid w:val="477A0D32"/>
    <w:rsid w:val="48164911"/>
    <w:rsid w:val="48C54543"/>
    <w:rsid w:val="48E269B6"/>
    <w:rsid w:val="48E50B4C"/>
    <w:rsid w:val="490613E3"/>
    <w:rsid w:val="49A87C69"/>
    <w:rsid w:val="49E54A1A"/>
    <w:rsid w:val="4A2A3E2E"/>
    <w:rsid w:val="4A591940"/>
    <w:rsid w:val="4A8554C1"/>
    <w:rsid w:val="4A991E77"/>
    <w:rsid w:val="4C673E0C"/>
    <w:rsid w:val="4CC4250A"/>
    <w:rsid w:val="4CFE5DF2"/>
    <w:rsid w:val="4D2F4314"/>
    <w:rsid w:val="4DCC6604"/>
    <w:rsid w:val="4EB8094F"/>
    <w:rsid w:val="4F336227"/>
    <w:rsid w:val="4F4C51A7"/>
    <w:rsid w:val="4FD124BF"/>
    <w:rsid w:val="4FE94B38"/>
    <w:rsid w:val="506B379F"/>
    <w:rsid w:val="510C4609"/>
    <w:rsid w:val="537D4CFC"/>
    <w:rsid w:val="53DE6035"/>
    <w:rsid w:val="54233E08"/>
    <w:rsid w:val="54EF2607"/>
    <w:rsid w:val="54FF66BC"/>
    <w:rsid w:val="559C55C2"/>
    <w:rsid w:val="56212162"/>
    <w:rsid w:val="5636334A"/>
    <w:rsid w:val="57030BD5"/>
    <w:rsid w:val="57203250"/>
    <w:rsid w:val="57204FA9"/>
    <w:rsid w:val="5762660D"/>
    <w:rsid w:val="57D63A8C"/>
    <w:rsid w:val="57FA598D"/>
    <w:rsid w:val="58080A8C"/>
    <w:rsid w:val="58916DA3"/>
    <w:rsid w:val="598A5619"/>
    <w:rsid w:val="59FB2037"/>
    <w:rsid w:val="5A207385"/>
    <w:rsid w:val="5A551748"/>
    <w:rsid w:val="5AA93841"/>
    <w:rsid w:val="5B4377F2"/>
    <w:rsid w:val="5B70395F"/>
    <w:rsid w:val="5BC60437"/>
    <w:rsid w:val="5C1A0B00"/>
    <w:rsid w:val="5C3C32E7"/>
    <w:rsid w:val="5C4F7492"/>
    <w:rsid w:val="5C621EFA"/>
    <w:rsid w:val="5C700ABB"/>
    <w:rsid w:val="5D174420"/>
    <w:rsid w:val="5D69082B"/>
    <w:rsid w:val="5D755C5D"/>
    <w:rsid w:val="5DD955BA"/>
    <w:rsid w:val="5E744166"/>
    <w:rsid w:val="5E982E01"/>
    <w:rsid w:val="5EB05068"/>
    <w:rsid w:val="5EC40C4A"/>
    <w:rsid w:val="5F1310D4"/>
    <w:rsid w:val="5F3F6518"/>
    <w:rsid w:val="6004526A"/>
    <w:rsid w:val="60094F49"/>
    <w:rsid w:val="608C1C3B"/>
    <w:rsid w:val="60DD2497"/>
    <w:rsid w:val="61410D0D"/>
    <w:rsid w:val="61E733D1"/>
    <w:rsid w:val="625E161A"/>
    <w:rsid w:val="62EB24E4"/>
    <w:rsid w:val="632443AD"/>
    <w:rsid w:val="63531CD1"/>
    <w:rsid w:val="636B0C65"/>
    <w:rsid w:val="637A3FCD"/>
    <w:rsid w:val="63F35B2D"/>
    <w:rsid w:val="63FC1710"/>
    <w:rsid w:val="64485E79"/>
    <w:rsid w:val="647E7D74"/>
    <w:rsid w:val="64D7654D"/>
    <w:rsid w:val="64E23E39"/>
    <w:rsid w:val="64EC3684"/>
    <w:rsid w:val="6554126D"/>
    <w:rsid w:val="684A543B"/>
    <w:rsid w:val="685A43CD"/>
    <w:rsid w:val="68684A5C"/>
    <w:rsid w:val="68923D4D"/>
    <w:rsid w:val="690E109E"/>
    <w:rsid w:val="6992719C"/>
    <w:rsid w:val="69A94DDB"/>
    <w:rsid w:val="69AF0748"/>
    <w:rsid w:val="6A4D243B"/>
    <w:rsid w:val="6A9F5562"/>
    <w:rsid w:val="6B1C1E0E"/>
    <w:rsid w:val="6B1F3694"/>
    <w:rsid w:val="6C3A04AE"/>
    <w:rsid w:val="6C5B0466"/>
    <w:rsid w:val="6C846341"/>
    <w:rsid w:val="6CD960E9"/>
    <w:rsid w:val="6D156B14"/>
    <w:rsid w:val="6D1F3682"/>
    <w:rsid w:val="6D4B488C"/>
    <w:rsid w:val="6D602485"/>
    <w:rsid w:val="6D9C6C60"/>
    <w:rsid w:val="6DAA2C4E"/>
    <w:rsid w:val="6DFA4688"/>
    <w:rsid w:val="6E5D4C17"/>
    <w:rsid w:val="6E7F63F0"/>
    <w:rsid w:val="6FCC795E"/>
    <w:rsid w:val="6FD93FF8"/>
    <w:rsid w:val="70AD604A"/>
    <w:rsid w:val="70BD6A5C"/>
    <w:rsid w:val="713E2ADE"/>
    <w:rsid w:val="72447D0E"/>
    <w:rsid w:val="727F074F"/>
    <w:rsid w:val="730F0443"/>
    <w:rsid w:val="73504E25"/>
    <w:rsid w:val="73ED6245"/>
    <w:rsid w:val="7492440F"/>
    <w:rsid w:val="74A500C3"/>
    <w:rsid w:val="753164B5"/>
    <w:rsid w:val="7575312B"/>
    <w:rsid w:val="75B33452"/>
    <w:rsid w:val="75D25EEA"/>
    <w:rsid w:val="76673936"/>
    <w:rsid w:val="76893F13"/>
    <w:rsid w:val="76AA1D10"/>
    <w:rsid w:val="77224F4B"/>
    <w:rsid w:val="773329B9"/>
    <w:rsid w:val="779B680D"/>
    <w:rsid w:val="77DD6EF2"/>
    <w:rsid w:val="78153E6C"/>
    <w:rsid w:val="78623B2D"/>
    <w:rsid w:val="78682435"/>
    <w:rsid w:val="78C82D0A"/>
    <w:rsid w:val="79F67250"/>
    <w:rsid w:val="7A157D4C"/>
    <w:rsid w:val="7A895030"/>
    <w:rsid w:val="7A90743D"/>
    <w:rsid w:val="7B851222"/>
    <w:rsid w:val="7B8B2AEE"/>
    <w:rsid w:val="7BE6404E"/>
    <w:rsid w:val="7BEF1B14"/>
    <w:rsid w:val="7C547659"/>
    <w:rsid w:val="7C6305ED"/>
    <w:rsid w:val="7C881E3F"/>
    <w:rsid w:val="7D086CAB"/>
    <w:rsid w:val="7DB14637"/>
    <w:rsid w:val="7DD374F4"/>
    <w:rsid w:val="7EF5076D"/>
    <w:rsid w:val="7F8A3D3E"/>
    <w:rsid w:val="7F9077CE"/>
    <w:rsid w:val="7F9132C7"/>
    <w:rsid w:val="7F97196B"/>
    <w:rsid w:val="7FDD6A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537" w:lineRule="exact"/>
      <w:ind w:left="4510" w:right="3950"/>
      <w:jc w:val="center"/>
      <w:outlineLvl w:val="0"/>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1"/>
    <w:pPr>
      <w:ind w:left="118"/>
    </w:pPr>
    <w:rPr>
      <w:sz w:val="32"/>
      <w:szCs w:val="32"/>
    </w:r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8" w:firstLine="626"/>
    </w:pPr>
  </w:style>
  <w:style w:type="paragraph" w:customStyle="1" w:styleId="12">
    <w:name w:val="Table Paragraph"/>
    <w:basedOn w:val="1"/>
    <w:qFormat/>
    <w:uiPriority w:val="1"/>
    <w:pPr>
      <w:spacing w:before="17" w:line="274" w:lineRule="exact"/>
      <w:jc w:val="right"/>
    </w:pPr>
  </w:style>
  <w:style w:type="character" w:customStyle="1" w:styleId="13">
    <w:name w:val="页眉 Char"/>
    <w:basedOn w:val="9"/>
    <w:link w:val="7"/>
    <w:qFormat/>
    <w:uiPriority w:val="0"/>
    <w:rPr>
      <w:rFonts w:ascii="宋体" w:hAnsi="宋体" w:cs="宋体"/>
      <w:sz w:val="18"/>
      <w:szCs w:val="18"/>
      <w:lang w:val="zh-CN" w:bidi="zh-CN"/>
    </w:rPr>
  </w:style>
  <w:style w:type="character" w:customStyle="1" w:styleId="14">
    <w:name w:val="批注框文本 Char"/>
    <w:basedOn w:val="9"/>
    <w:link w:val="5"/>
    <w:qFormat/>
    <w:uiPriority w:val="0"/>
    <w:rPr>
      <w:rFonts w:ascii="宋体" w:hAnsi="宋体" w:cs="宋体"/>
      <w:sz w:val="18"/>
      <w:szCs w:val="18"/>
      <w:lang w:val="zh-CN" w:bidi="zh-CN"/>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6704</Words>
  <Characters>7416</Characters>
  <Lines>52</Lines>
  <Paragraphs>14</Paragraphs>
  <TotalTime>20</TotalTime>
  <ScaleCrop>false</ScaleCrop>
  <LinksUpToDate>false</LinksUpToDate>
  <CharactersWithSpaces>7444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2021-08-19T06:43:00Z</dcterms:created>
  <dc:creator>莫先孔</dc:creator>
  <cp:lastModifiedBy>阿邦1404378945</cp:lastModifiedBy>
  <dcterms:modified xsi:type="dcterms:W3CDTF">2025-08-18T08:03:56Z</dcterms:modified>
  <dc:title>附件：（部门决算公开格式）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2021-08-19T00:00:00Z</vt:filetime>
  </property>
  <property fmtid="{D5CDD505-2E9C-101B-9397-08002B2CF9AE}" pid="5" name="KSOProductBuildVer">
    <vt:lpwstr>2052-12.1.0.21915</vt:lpwstr>
  </property>
  <property fmtid="{D5CDD505-2E9C-101B-9397-08002B2CF9AE}" pid="6" name="ICV">
    <vt:lpwstr>23CEE068F5D14DE3B404DD14B24A6930</vt:lpwstr>
  </property>
  <property fmtid="{D5CDD505-2E9C-101B-9397-08002B2CF9AE}" pid="7" name="KSOTemplateDocerSaveRecord">
    <vt:lpwstr>eyJoZGlkIjoiZmY2YmM0Yzk2MWFhYTA0Y2RmYzg3YjJhYzJkYTc0NDIiLCJ1c2VySWQiOiIxODA4ODUzNyJ9</vt:lpwstr>
  </property>
</Properties>
</file>