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A2881">
      <w:pPr>
        <w:rPr>
          <w:rFonts w:ascii="仿宋_GB2312" w:hAnsi="Times New Roman" w:eastAsia="仿宋_GB2312" w:cs="ArialUnicodeMS"/>
          <w:kern w:val="0"/>
          <w:sz w:val="32"/>
          <w:szCs w:val="32"/>
        </w:rPr>
      </w:pPr>
    </w:p>
    <w:p w14:paraId="6698A476">
      <w:pPr>
        <w:rPr>
          <w:rFonts w:ascii="黑体" w:hAnsi="Times New Roman" w:eastAsia="黑体" w:cs="ArialUnicodeMS"/>
          <w:kern w:val="0"/>
          <w:sz w:val="72"/>
          <w:szCs w:val="72"/>
        </w:rPr>
      </w:pPr>
    </w:p>
    <w:p w14:paraId="4EE7B3E0">
      <w:pPr>
        <w:rPr>
          <w:rFonts w:ascii="黑体" w:hAnsi="Times New Roman" w:eastAsia="黑体" w:cs="ArialUnicodeMS"/>
          <w:kern w:val="0"/>
          <w:sz w:val="72"/>
          <w:szCs w:val="72"/>
        </w:rPr>
      </w:pPr>
    </w:p>
    <w:p w14:paraId="02FE3761">
      <w:pPr>
        <w:jc w:val="center"/>
        <w:rPr>
          <w:rFonts w:ascii="方正小标宋简体" w:hAnsi="Times New Roman" w:eastAsia="方正小标宋简体" w:cs="ArialUnicodeMS"/>
          <w:kern w:val="0"/>
          <w:sz w:val="52"/>
          <w:szCs w:val="52"/>
        </w:rPr>
      </w:pPr>
    </w:p>
    <w:p w14:paraId="04FA0B2C">
      <w:pPr>
        <w:jc w:val="center"/>
        <w:rPr>
          <w:rFonts w:ascii="方正小标宋简体" w:hAnsi="黑体" w:eastAsia="方正小标宋简体"/>
          <w:bCs/>
          <w:color w:val="000000"/>
          <w:sz w:val="52"/>
          <w:szCs w:val="52"/>
        </w:rPr>
      </w:pPr>
      <w:r>
        <w:rPr>
          <w:rFonts w:hint="eastAsia" w:ascii="方正小标宋简体" w:hAnsi="Times New Roman" w:eastAsia="方正小标宋简体" w:cs="ArialUnicodeMS"/>
          <w:kern w:val="0"/>
          <w:sz w:val="52"/>
          <w:szCs w:val="52"/>
        </w:rPr>
        <w:t>广西壮族自治区</w:t>
      </w:r>
      <w:r>
        <w:rPr>
          <w:rFonts w:hint="eastAsia" w:ascii="方正小标宋简体" w:hAnsi="黑体" w:eastAsia="方正小标宋简体"/>
          <w:bCs/>
          <w:color w:val="000000"/>
          <w:sz w:val="52"/>
          <w:szCs w:val="52"/>
        </w:rPr>
        <w:t>广播电视局</w:t>
      </w:r>
    </w:p>
    <w:p w14:paraId="64039AF3">
      <w:pPr>
        <w:jc w:val="center"/>
        <w:rPr>
          <w:rFonts w:ascii="方正小标宋简体" w:hAnsi="Times New Roman" w:eastAsia="方正小标宋简体" w:cs="ArialUnicodeMS"/>
          <w:kern w:val="0"/>
          <w:sz w:val="52"/>
          <w:szCs w:val="52"/>
        </w:rPr>
      </w:pPr>
      <w:r>
        <w:rPr>
          <w:rFonts w:hint="eastAsia" w:ascii="方正小标宋简体" w:hAnsi="Times New Roman" w:eastAsia="方正小标宋简体"/>
          <w:kern w:val="0"/>
          <w:sz w:val="52"/>
          <w:szCs w:val="52"/>
        </w:rPr>
        <w:t>202</w:t>
      </w:r>
      <w:r>
        <w:rPr>
          <w:rFonts w:hint="eastAsia" w:ascii="方正小标宋简体" w:hAnsi="Times New Roman" w:eastAsia="方正小标宋简体"/>
          <w:kern w:val="0"/>
          <w:sz w:val="52"/>
          <w:szCs w:val="52"/>
          <w:lang w:val="en-US" w:eastAsia="zh-CN"/>
        </w:rPr>
        <w:t>3</w:t>
      </w:r>
      <w:r>
        <w:rPr>
          <w:rFonts w:hint="eastAsia" w:ascii="方正小标宋简体" w:hAnsi="Times New Roman" w:eastAsia="方正小标宋简体" w:cs="ArialUnicodeMS"/>
          <w:kern w:val="0"/>
          <w:sz w:val="52"/>
          <w:szCs w:val="52"/>
        </w:rPr>
        <w:t>年度部门决算</w:t>
      </w:r>
    </w:p>
    <w:p w14:paraId="5F5A10A5">
      <w:pPr>
        <w:rPr>
          <w:rFonts w:ascii="方正小标宋简体" w:hAnsi="Times New Roman" w:eastAsia="方正小标宋简体" w:cs="ArialUnicodeMS"/>
          <w:kern w:val="0"/>
          <w:sz w:val="84"/>
          <w:szCs w:val="84"/>
        </w:rPr>
      </w:pPr>
    </w:p>
    <w:p w14:paraId="078E60F3">
      <w:pPr>
        <w:rPr>
          <w:rFonts w:ascii="ArialUnicodeMS" w:hAnsi="Times New Roman" w:eastAsia="ArialUnicodeMS" w:cs="ArialUnicodeMS"/>
          <w:kern w:val="0"/>
          <w:sz w:val="84"/>
          <w:szCs w:val="84"/>
        </w:rPr>
      </w:pPr>
    </w:p>
    <w:p w14:paraId="66367A43">
      <w:pPr>
        <w:rPr>
          <w:rFonts w:ascii="ArialUnicodeMS" w:hAnsi="Times New Roman" w:eastAsia="ArialUnicodeMS" w:cs="ArialUnicodeMS"/>
          <w:kern w:val="0"/>
          <w:sz w:val="84"/>
          <w:szCs w:val="84"/>
        </w:rPr>
      </w:pPr>
    </w:p>
    <w:p w14:paraId="59D7D361">
      <w:pPr>
        <w:rPr>
          <w:rFonts w:ascii="ArialUnicodeMS" w:hAnsi="Times New Roman" w:eastAsia="ArialUnicodeMS" w:cs="ArialUnicodeMS"/>
          <w:kern w:val="0"/>
          <w:sz w:val="84"/>
          <w:szCs w:val="84"/>
        </w:rPr>
      </w:pPr>
    </w:p>
    <w:p w14:paraId="1FEC9EE3">
      <w:pPr>
        <w:rPr>
          <w:rFonts w:ascii="ArialUnicodeMS" w:hAnsi="Times New Roman" w:eastAsia="ArialUnicodeMS" w:cs="ArialUnicodeMS"/>
          <w:kern w:val="0"/>
          <w:sz w:val="84"/>
          <w:szCs w:val="84"/>
        </w:rPr>
      </w:pPr>
    </w:p>
    <w:p w14:paraId="58A337CD">
      <w:pPr>
        <w:jc w:val="center"/>
        <w:rPr>
          <w:rFonts w:ascii="黑体" w:hAnsi="Times New Roman" w:eastAsia="黑体" w:cs="黑体"/>
          <w:kern w:val="0"/>
          <w:sz w:val="44"/>
          <w:szCs w:val="44"/>
        </w:rPr>
      </w:pPr>
    </w:p>
    <w:p w14:paraId="7B56F021">
      <w:pPr>
        <w:jc w:val="center"/>
        <w:rPr>
          <w:rFonts w:ascii="黑体" w:hAnsi="Times New Roman" w:eastAsia="黑体" w:cs="黑体"/>
          <w:kern w:val="0"/>
          <w:sz w:val="44"/>
          <w:szCs w:val="44"/>
        </w:rPr>
      </w:pPr>
    </w:p>
    <w:p w14:paraId="13F42C89">
      <w:pPr>
        <w:ind w:firstLine="646"/>
        <w:jc w:val="center"/>
        <w:rPr>
          <w:rFonts w:ascii="方正小标宋简体" w:hAnsi="Times New Roman" w:eastAsia="方正小标宋简体"/>
          <w:b/>
          <w:sz w:val="44"/>
          <w:szCs w:val="44"/>
        </w:rPr>
        <w:sectPr>
          <w:footerReference r:id="rId3" w:type="default"/>
          <w:footerReference r:id="rId4" w:type="even"/>
          <w:pgSz w:w="11906" w:h="16838"/>
          <w:pgMar w:top="1701" w:right="1474" w:bottom="1247" w:left="1587" w:header="851" w:footer="992" w:gutter="0"/>
          <w:cols w:space="720" w:num="1"/>
          <w:docGrid w:type="lines" w:linePitch="312" w:charSpace="0"/>
        </w:sectPr>
      </w:pPr>
    </w:p>
    <w:p w14:paraId="05BD57A2">
      <w:pPr>
        <w:ind w:firstLine="646"/>
        <w:jc w:val="center"/>
        <w:rPr>
          <w:rFonts w:ascii="方正小标宋简体" w:hAnsi="Times New Roman" w:eastAsia="方正小标宋简体"/>
          <w:b/>
          <w:sz w:val="44"/>
          <w:szCs w:val="44"/>
        </w:rPr>
      </w:pPr>
      <w:r>
        <w:rPr>
          <w:rFonts w:hint="eastAsia" w:ascii="方正小标宋简体" w:hAnsi="Times New Roman" w:eastAsia="方正小标宋简体"/>
          <w:b/>
          <w:sz w:val="44"/>
          <w:szCs w:val="44"/>
        </w:rPr>
        <w:t>目    录</w:t>
      </w:r>
    </w:p>
    <w:p w14:paraId="4B8BF438">
      <w:pPr>
        <w:ind w:firstLine="645"/>
        <w:rPr>
          <w:rFonts w:ascii="仿宋_GB2312" w:hAnsi="Times New Roman" w:eastAsia="仿宋_GB2312"/>
          <w:b/>
          <w:sz w:val="32"/>
          <w:szCs w:val="32"/>
        </w:rPr>
      </w:pPr>
    </w:p>
    <w:p w14:paraId="55ECE60F">
      <w:pPr>
        <w:ind w:firstLine="645"/>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rPr>
        <w:t>自治区广电局概况</w:t>
      </w:r>
    </w:p>
    <w:p w14:paraId="3AC348EA">
      <w:pPr>
        <w:ind w:firstLine="645"/>
        <w:rPr>
          <w:rFonts w:ascii="仿宋_GB2312" w:hAnsi="Times New Roman" w:eastAsia="仿宋_GB2312"/>
          <w:sz w:val="32"/>
          <w:szCs w:val="32"/>
        </w:rPr>
      </w:pPr>
      <w:r>
        <w:rPr>
          <w:rFonts w:hint="eastAsia" w:ascii="仿宋_GB2312" w:hAnsi="Times New Roman" w:eastAsia="仿宋_GB2312"/>
          <w:sz w:val="32"/>
          <w:szCs w:val="32"/>
        </w:rPr>
        <w:t>一、本部门职责</w:t>
      </w:r>
    </w:p>
    <w:p w14:paraId="7EFB2383">
      <w:pPr>
        <w:ind w:firstLine="645"/>
        <w:rPr>
          <w:rFonts w:ascii="仿宋_GB2312" w:hAnsi="Times New Roman" w:eastAsia="仿宋_GB2312"/>
          <w:sz w:val="32"/>
          <w:szCs w:val="32"/>
        </w:rPr>
      </w:pPr>
      <w:r>
        <w:rPr>
          <w:rFonts w:hint="eastAsia" w:ascii="仿宋_GB2312" w:hAnsi="Times New Roman" w:eastAsia="仿宋_GB2312"/>
          <w:sz w:val="32"/>
          <w:szCs w:val="32"/>
        </w:rPr>
        <w:t>二、机构设置情况</w:t>
      </w:r>
    </w:p>
    <w:p w14:paraId="5EF4329E">
      <w:pPr>
        <w:ind w:firstLine="645"/>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bCs/>
          <w:sz w:val="32"/>
          <w:szCs w:val="32"/>
        </w:rPr>
        <w:t>自治区广电局</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48530386">
      <w:pPr>
        <w:ind w:left="645"/>
        <w:rPr>
          <w:rFonts w:ascii="仿宋_GB2312" w:hAnsi="Times New Roman" w:eastAsia="仿宋_GB2312"/>
          <w:sz w:val="32"/>
          <w:szCs w:val="32"/>
        </w:rPr>
      </w:pPr>
      <w:r>
        <w:rPr>
          <w:rFonts w:hint="eastAsia" w:ascii="仿宋_GB2312" w:hAnsi="Times New Roman" w:eastAsia="仿宋_GB2312"/>
          <w:sz w:val="32"/>
          <w:szCs w:val="32"/>
        </w:rPr>
        <w:t>表一：收入支出决算总表</w:t>
      </w:r>
    </w:p>
    <w:p w14:paraId="78A002E5">
      <w:pPr>
        <w:ind w:left="645"/>
        <w:rPr>
          <w:rFonts w:ascii="仿宋_GB2312" w:hAnsi="Times New Roman" w:eastAsia="仿宋_GB2312"/>
          <w:sz w:val="32"/>
          <w:szCs w:val="32"/>
        </w:rPr>
      </w:pPr>
      <w:r>
        <w:rPr>
          <w:rFonts w:hint="eastAsia" w:ascii="仿宋_GB2312" w:hAnsi="Times New Roman" w:eastAsia="仿宋_GB2312"/>
          <w:sz w:val="32"/>
          <w:szCs w:val="32"/>
        </w:rPr>
        <w:t>表二：收入决算表</w:t>
      </w:r>
    </w:p>
    <w:p w14:paraId="098449FE">
      <w:pPr>
        <w:ind w:left="645"/>
        <w:rPr>
          <w:rFonts w:ascii="仿宋_GB2312" w:hAnsi="Times New Roman" w:eastAsia="仿宋_GB2312"/>
          <w:sz w:val="32"/>
          <w:szCs w:val="32"/>
        </w:rPr>
      </w:pPr>
      <w:r>
        <w:rPr>
          <w:rFonts w:hint="eastAsia" w:ascii="仿宋_GB2312" w:hAnsi="Times New Roman" w:eastAsia="仿宋_GB2312"/>
          <w:sz w:val="32"/>
          <w:szCs w:val="32"/>
        </w:rPr>
        <w:t>表三：支出决算表</w:t>
      </w:r>
    </w:p>
    <w:p w14:paraId="36014A49">
      <w:pPr>
        <w:ind w:left="645"/>
        <w:rPr>
          <w:rFonts w:ascii="仿宋_GB2312" w:hAnsi="Times New Roman" w:eastAsia="仿宋_GB2312"/>
          <w:sz w:val="32"/>
          <w:szCs w:val="32"/>
        </w:rPr>
      </w:pPr>
      <w:r>
        <w:rPr>
          <w:rFonts w:hint="eastAsia" w:ascii="仿宋_GB2312" w:hAnsi="Times New Roman" w:eastAsia="仿宋_GB2312"/>
          <w:sz w:val="32"/>
          <w:szCs w:val="32"/>
        </w:rPr>
        <w:t>表四：财政拨款收入支出决算总表</w:t>
      </w:r>
    </w:p>
    <w:p w14:paraId="3F63F3FA">
      <w:pPr>
        <w:ind w:left="645"/>
        <w:rPr>
          <w:rFonts w:ascii="仿宋_GB2312" w:hAnsi="Times New Roman" w:eastAsia="仿宋_GB2312"/>
          <w:sz w:val="32"/>
          <w:szCs w:val="32"/>
        </w:rPr>
      </w:pPr>
      <w:r>
        <w:rPr>
          <w:rFonts w:hint="eastAsia" w:ascii="仿宋_GB2312" w:hAnsi="Times New Roman" w:eastAsia="仿宋_GB2312"/>
          <w:sz w:val="32"/>
          <w:szCs w:val="32"/>
        </w:rPr>
        <w:t>表五：一般公共预算财政拨款支出决算表</w:t>
      </w:r>
    </w:p>
    <w:p w14:paraId="53AE5AE1">
      <w:pPr>
        <w:ind w:left="645"/>
        <w:rPr>
          <w:rFonts w:ascii="仿宋_GB2312" w:hAnsi="Times New Roman" w:eastAsia="仿宋_GB2312"/>
          <w:sz w:val="32"/>
          <w:szCs w:val="32"/>
        </w:rPr>
      </w:pPr>
      <w:r>
        <w:rPr>
          <w:rFonts w:hint="eastAsia" w:ascii="仿宋_GB2312" w:hAnsi="Times New Roman" w:eastAsia="仿宋_GB2312"/>
          <w:sz w:val="32"/>
          <w:szCs w:val="32"/>
        </w:rPr>
        <w:t>表六：一般公共预算财政拨款基本支出决算明细表</w:t>
      </w:r>
    </w:p>
    <w:p w14:paraId="24FEDCBC">
      <w:pPr>
        <w:ind w:left="645"/>
        <w:rPr>
          <w:rFonts w:ascii="仿宋_GB2312" w:hAnsi="Times New Roman" w:eastAsia="仿宋_GB2312"/>
          <w:sz w:val="32"/>
          <w:szCs w:val="32"/>
        </w:rPr>
      </w:pPr>
      <w:r>
        <w:rPr>
          <w:rFonts w:hint="eastAsia" w:ascii="仿宋_GB2312" w:hAnsi="Times New Roman" w:eastAsia="仿宋_GB2312"/>
          <w:sz w:val="32"/>
          <w:szCs w:val="32"/>
        </w:rPr>
        <w:t>表七：政府性基金</w:t>
      </w:r>
      <w:r>
        <w:rPr>
          <w:rFonts w:hint="eastAsia" w:ascii="仿宋_GB2312" w:hAnsi="黑体" w:eastAsia="仿宋_GB2312"/>
          <w:sz w:val="32"/>
          <w:szCs w:val="32"/>
        </w:rPr>
        <w:t>预算财政拨款</w:t>
      </w:r>
      <w:r>
        <w:rPr>
          <w:rFonts w:hint="eastAsia" w:ascii="仿宋_GB2312" w:hAnsi="Times New Roman" w:eastAsia="仿宋_GB2312"/>
          <w:sz w:val="32"/>
          <w:szCs w:val="32"/>
        </w:rPr>
        <w:t>收入支出决算表</w:t>
      </w:r>
    </w:p>
    <w:p w14:paraId="2C4E8890">
      <w:pPr>
        <w:ind w:left="645"/>
        <w:rPr>
          <w:rFonts w:ascii="仿宋_GB2312" w:hAnsi="Times New Roman" w:eastAsia="仿宋_GB2312"/>
          <w:sz w:val="32"/>
          <w:szCs w:val="32"/>
        </w:rPr>
      </w:pPr>
      <w:r>
        <w:rPr>
          <w:rFonts w:hint="eastAsia" w:ascii="仿宋_GB2312" w:hAnsi="Times New Roman" w:eastAsia="仿宋_GB2312"/>
          <w:sz w:val="32"/>
          <w:szCs w:val="32"/>
        </w:rPr>
        <w:t>表八：国有资本经营预算</w:t>
      </w:r>
      <w:r>
        <w:rPr>
          <w:rFonts w:hint="eastAsia" w:ascii="仿宋_GB2312" w:hAnsi="黑体" w:eastAsia="仿宋_GB2312"/>
          <w:sz w:val="32"/>
          <w:szCs w:val="32"/>
        </w:rPr>
        <w:t>财政拨款</w:t>
      </w:r>
      <w:r>
        <w:rPr>
          <w:rFonts w:hint="eastAsia" w:ascii="仿宋_GB2312" w:hAnsi="Times New Roman" w:eastAsia="仿宋_GB2312"/>
          <w:sz w:val="32"/>
          <w:szCs w:val="32"/>
        </w:rPr>
        <w:t>支出决算表</w:t>
      </w:r>
    </w:p>
    <w:p w14:paraId="6177458A">
      <w:pPr>
        <w:ind w:left="645"/>
        <w:rPr>
          <w:rFonts w:ascii="仿宋_GB2312" w:hAnsi="Times New Roman" w:eastAsia="仿宋_GB2312"/>
          <w:sz w:val="32"/>
          <w:szCs w:val="32"/>
        </w:rPr>
      </w:pPr>
      <w:r>
        <w:rPr>
          <w:rFonts w:hint="eastAsia" w:ascii="仿宋_GB2312" w:hAnsi="Times New Roman" w:eastAsia="仿宋_GB2312"/>
          <w:sz w:val="32"/>
          <w:szCs w:val="32"/>
        </w:rPr>
        <w:t>表九：财政拨款安排的“三公”经费支出决算表</w:t>
      </w:r>
    </w:p>
    <w:p w14:paraId="0A65C39D">
      <w:pPr>
        <w:ind w:firstLine="645"/>
        <w:rPr>
          <w:rFonts w:ascii="黑体" w:hAnsi="黑体" w:eastAsia="黑体"/>
          <w:sz w:val="32"/>
          <w:szCs w:val="32"/>
        </w:rPr>
      </w:pPr>
      <w:r>
        <w:rPr>
          <w:rFonts w:hint="eastAsia" w:ascii="黑体" w:hAnsi="黑体" w:eastAsia="黑体"/>
          <w:sz w:val="32"/>
          <w:szCs w:val="32"/>
        </w:rPr>
        <w:t>第三部分：</w:t>
      </w:r>
      <w:r>
        <w:rPr>
          <w:rFonts w:hint="eastAsia" w:ascii="黑体" w:hAnsi="黑体" w:eastAsia="黑体"/>
          <w:bCs/>
          <w:sz w:val="32"/>
          <w:szCs w:val="32"/>
        </w:rPr>
        <w:t>自治区广电局</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469F4324">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一、</w:t>
      </w:r>
      <w:r>
        <w:rPr>
          <w:rFonts w:hint="eastAsia" w:ascii="仿宋_GB2312" w:hAnsi="Times New Roman" w:eastAsia="仿宋_GB2312"/>
          <w:kern w:val="0"/>
          <w:sz w:val="32"/>
          <w:szCs w:val="32"/>
          <w:lang w:eastAsia="zh-CN"/>
        </w:rPr>
        <w:t>2023年</w:t>
      </w:r>
      <w:r>
        <w:rPr>
          <w:rFonts w:hint="eastAsia" w:ascii="仿宋_GB2312" w:hAnsi="Times New Roman" w:eastAsia="仿宋_GB2312" w:cs="仿宋_GB2312"/>
          <w:kern w:val="0"/>
          <w:sz w:val="32"/>
          <w:szCs w:val="32"/>
        </w:rPr>
        <w:t>度收入支出决算总体情况。</w:t>
      </w:r>
    </w:p>
    <w:p w14:paraId="5269B069">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二、</w:t>
      </w:r>
      <w:r>
        <w:rPr>
          <w:rFonts w:hint="eastAsia" w:ascii="仿宋_GB2312" w:hAnsi="Times New Roman" w:eastAsia="仿宋_GB2312"/>
          <w:kern w:val="0"/>
          <w:sz w:val="32"/>
          <w:szCs w:val="32"/>
          <w:lang w:eastAsia="zh-CN"/>
        </w:rPr>
        <w:t>2023年</w:t>
      </w:r>
      <w:r>
        <w:rPr>
          <w:rFonts w:hint="eastAsia" w:ascii="仿宋_GB2312" w:hAnsi="Times New Roman" w:eastAsia="仿宋_GB2312" w:cs="仿宋_GB2312"/>
          <w:kern w:val="0"/>
          <w:sz w:val="32"/>
          <w:szCs w:val="32"/>
        </w:rPr>
        <w:t>度</w:t>
      </w:r>
      <w:r>
        <w:rPr>
          <w:rFonts w:hint="eastAsia" w:ascii="仿宋_GB2312" w:hAnsi="Times New Roman" w:eastAsia="仿宋_GB2312"/>
          <w:sz w:val="32"/>
          <w:szCs w:val="32"/>
        </w:rPr>
        <w:t>一般</w:t>
      </w:r>
      <w:r>
        <w:rPr>
          <w:rFonts w:hint="eastAsia" w:ascii="仿宋_GB2312" w:hAnsi="Times New Roman" w:eastAsia="仿宋_GB2312" w:cs="仿宋_GB2312"/>
          <w:kern w:val="0"/>
          <w:sz w:val="32"/>
          <w:szCs w:val="32"/>
        </w:rPr>
        <w:t>公共预算财政拨款支出决算情况。</w:t>
      </w:r>
    </w:p>
    <w:p w14:paraId="58187FE9">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三、</w:t>
      </w:r>
      <w:r>
        <w:rPr>
          <w:rFonts w:hint="eastAsia" w:ascii="仿宋_GB2312" w:hAnsi="Times New Roman" w:eastAsia="仿宋_GB2312" w:cs="仿宋_GB2312"/>
          <w:spacing w:val="-6"/>
          <w:kern w:val="0"/>
          <w:sz w:val="32"/>
          <w:szCs w:val="32"/>
          <w:lang w:eastAsia="zh-CN"/>
        </w:rPr>
        <w:t>2023年</w:t>
      </w:r>
      <w:r>
        <w:rPr>
          <w:rFonts w:hint="eastAsia" w:ascii="仿宋_GB2312" w:hAnsi="Times New Roman" w:eastAsia="仿宋_GB2312" w:cs="仿宋_GB2312"/>
          <w:spacing w:val="-6"/>
          <w:kern w:val="0"/>
          <w:sz w:val="32"/>
          <w:szCs w:val="32"/>
        </w:rPr>
        <w:t>度一般公共预算财政拨款基本支出决算情况说明</w:t>
      </w:r>
      <w:r>
        <w:rPr>
          <w:rFonts w:hint="eastAsia" w:ascii="仿宋_GB2312" w:hAnsi="Times New Roman" w:eastAsia="仿宋_GB2312" w:cs="仿宋_GB2312"/>
          <w:kern w:val="0"/>
          <w:sz w:val="32"/>
          <w:szCs w:val="32"/>
        </w:rPr>
        <w:t>。</w:t>
      </w:r>
    </w:p>
    <w:p w14:paraId="7EFFDF4D">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四、</w:t>
      </w:r>
      <w:r>
        <w:rPr>
          <w:rFonts w:hint="eastAsia" w:ascii="仿宋_GB2312" w:hAnsi="Times New Roman" w:eastAsia="仿宋_GB2312"/>
          <w:kern w:val="0"/>
          <w:sz w:val="32"/>
          <w:szCs w:val="32"/>
          <w:lang w:eastAsia="zh-CN"/>
        </w:rPr>
        <w:t>2023年</w:t>
      </w:r>
      <w:r>
        <w:rPr>
          <w:rFonts w:hint="eastAsia" w:ascii="仿宋_GB2312" w:hAnsi="Times New Roman" w:eastAsia="仿宋_GB2312" w:cs="仿宋_GB2312"/>
          <w:kern w:val="0"/>
          <w:sz w:val="32"/>
          <w:szCs w:val="32"/>
        </w:rPr>
        <w:t>度政府性基金支出决算情况。</w:t>
      </w:r>
    </w:p>
    <w:p w14:paraId="2B0FE05D">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五、</w:t>
      </w:r>
      <w:r>
        <w:rPr>
          <w:rFonts w:hint="eastAsia" w:ascii="仿宋_GB2312" w:hAnsi="Times New Roman" w:eastAsia="仿宋_GB2312" w:cs="仿宋_GB2312"/>
          <w:kern w:val="0"/>
          <w:sz w:val="32"/>
          <w:szCs w:val="32"/>
          <w:lang w:eastAsia="zh-CN"/>
        </w:rPr>
        <w:t>2023年</w:t>
      </w:r>
      <w:r>
        <w:rPr>
          <w:rFonts w:hint="eastAsia" w:ascii="仿宋_GB2312" w:hAnsi="Times New Roman" w:eastAsia="仿宋_GB2312" w:cs="仿宋_GB2312"/>
          <w:kern w:val="0"/>
          <w:sz w:val="32"/>
          <w:szCs w:val="32"/>
        </w:rPr>
        <w:t>度国有资本经营预算支出决算情况</w:t>
      </w:r>
    </w:p>
    <w:p w14:paraId="28C2FD9E">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六、财政拨款安排的“三公”经费支出决算情况说明。</w:t>
      </w:r>
    </w:p>
    <w:p w14:paraId="1F89CBBE">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七、其他重要事项情况说明。</w:t>
      </w:r>
    </w:p>
    <w:p w14:paraId="12087F43">
      <w:pPr>
        <w:autoSpaceDE w:val="0"/>
        <w:autoSpaceDN w:val="0"/>
        <w:adjustRightInd w:val="0"/>
        <w:ind w:firstLine="640" w:firstLineChars="200"/>
        <w:jc w:val="left"/>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八、预算绩效管理工作开展情况。</w:t>
      </w:r>
    </w:p>
    <w:p w14:paraId="50EFF2CD">
      <w:pPr>
        <w:autoSpaceDE w:val="0"/>
        <w:autoSpaceDN w:val="0"/>
        <w:adjustRightInd w:val="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1B8AC3F8">
      <w:pPr>
        <w:jc w:val="center"/>
        <w:rPr>
          <w:rFonts w:ascii="仿宋_GB2312" w:hAnsi="Times New Roman" w:eastAsia="仿宋_GB2312"/>
          <w:szCs w:val="24"/>
        </w:rPr>
      </w:pPr>
    </w:p>
    <w:p w14:paraId="70292AC1">
      <w:pPr>
        <w:rPr>
          <w:rFonts w:ascii="仿宋_GB2312" w:hAnsi="Times New Roman" w:eastAsia="仿宋_GB2312"/>
          <w:b/>
          <w:sz w:val="32"/>
          <w:szCs w:val="32"/>
        </w:rPr>
      </w:pPr>
    </w:p>
    <w:p w14:paraId="64E9E301">
      <w:pPr>
        <w:rPr>
          <w:rFonts w:ascii="仿宋_GB2312" w:hAnsi="Times New Roman" w:eastAsia="仿宋_GB2312"/>
          <w:b/>
          <w:sz w:val="32"/>
          <w:szCs w:val="32"/>
        </w:rPr>
      </w:pPr>
    </w:p>
    <w:p w14:paraId="4A8F405F">
      <w:pPr>
        <w:rPr>
          <w:rFonts w:ascii="仿宋_GB2312" w:hAnsi="Times New Roman" w:eastAsia="仿宋_GB2312"/>
          <w:b/>
          <w:sz w:val="32"/>
          <w:szCs w:val="32"/>
        </w:rPr>
      </w:pPr>
    </w:p>
    <w:p w14:paraId="6573C5AF">
      <w:pPr>
        <w:rPr>
          <w:rFonts w:ascii="仿宋_GB2312" w:hAnsi="Times New Roman" w:eastAsia="仿宋_GB2312"/>
          <w:b/>
          <w:sz w:val="32"/>
          <w:szCs w:val="32"/>
        </w:rPr>
      </w:pPr>
    </w:p>
    <w:p w14:paraId="3248DD03">
      <w:pPr>
        <w:rPr>
          <w:rFonts w:ascii="仿宋_GB2312" w:hAnsi="Times New Roman" w:eastAsia="仿宋_GB2312"/>
          <w:b/>
          <w:sz w:val="32"/>
          <w:szCs w:val="32"/>
        </w:rPr>
      </w:pPr>
    </w:p>
    <w:p w14:paraId="7B455295">
      <w:pPr>
        <w:rPr>
          <w:rFonts w:ascii="仿宋_GB2312" w:hAnsi="Times New Roman" w:eastAsia="仿宋_GB2312"/>
          <w:b/>
          <w:sz w:val="32"/>
          <w:szCs w:val="32"/>
        </w:rPr>
      </w:pPr>
    </w:p>
    <w:p w14:paraId="7006179A">
      <w:pPr>
        <w:rPr>
          <w:rFonts w:ascii="仿宋_GB2312" w:hAnsi="Times New Roman" w:eastAsia="仿宋_GB2312"/>
          <w:b/>
          <w:sz w:val="32"/>
          <w:szCs w:val="32"/>
        </w:rPr>
      </w:pPr>
    </w:p>
    <w:p w14:paraId="595E48EB">
      <w:pPr>
        <w:rPr>
          <w:rFonts w:ascii="仿宋_GB2312" w:hAnsi="Times New Roman" w:eastAsia="仿宋_GB2312"/>
          <w:b/>
          <w:sz w:val="32"/>
          <w:szCs w:val="32"/>
        </w:rPr>
      </w:pPr>
    </w:p>
    <w:p w14:paraId="0B6A339B">
      <w:pPr>
        <w:rPr>
          <w:rFonts w:ascii="仿宋_GB2312" w:hAnsi="Times New Roman" w:eastAsia="仿宋_GB2312"/>
          <w:b/>
          <w:sz w:val="32"/>
          <w:szCs w:val="32"/>
        </w:rPr>
      </w:pPr>
    </w:p>
    <w:p w14:paraId="74D16016">
      <w:pPr>
        <w:rPr>
          <w:rFonts w:ascii="仿宋_GB2312" w:hAnsi="Times New Roman" w:eastAsia="仿宋_GB2312"/>
          <w:b/>
          <w:sz w:val="32"/>
          <w:szCs w:val="32"/>
        </w:rPr>
      </w:pPr>
    </w:p>
    <w:p w14:paraId="7E2ABA87">
      <w:pPr>
        <w:rPr>
          <w:rFonts w:ascii="仿宋_GB2312" w:hAnsi="Times New Roman" w:eastAsia="仿宋_GB2312"/>
          <w:b/>
          <w:sz w:val="32"/>
          <w:szCs w:val="32"/>
        </w:rPr>
      </w:pPr>
    </w:p>
    <w:p w14:paraId="1D74CE0B">
      <w:pPr>
        <w:rPr>
          <w:rFonts w:ascii="仿宋_GB2312" w:hAnsi="Times New Roman" w:eastAsia="仿宋_GB2312"/>
          <w:b/>
          <w:sz w:val="32"/>
          <w:szCs w:val="32"/>
        </w:rPr>
      </w:pPr>
    </w:p>
    <w:p w14:paraId="1C04D1AB">
      <w:pPr>
        <w:rPr>
          <w:rFonts w:ascii="仿宋_GB2312" w:hAnsi="Times New Roman" w:eastAsia="仿宋_GB2312"/>
          <w:b/>
          <w:sz w:val="32"/>
          <w:szCs w:val="32"/>
        </w:rPr>
      </w:pPr>
    </w:p>
    <w:p w14:paraId="36EC87C8">
      <w:pPr>
        <w:rPr>
          <w:rFonts w:ascii="仿宋_GB2312" w:hAnsi="Times New Roman" w:eastAsia="仿宋_GB2312"/>
          <w:b/>
          <w:sz w:val="32"/>
          <w:szCs w:val="32"/>
        </w:rPr>
      </w:pPr>
    </w:p>
    <w:p w14:paraId="3C971B97">
      <w:pPr>
        <w:rPr>
          <w:rFonts w:ascii="仿宋_GB2312" w:hAnsi="Times New Roman" w:eastAsia="仿宋_GB2312"/>
          <w:b/>
          <w:sz w:val="32"/>
          <w:szCs w:val="32"/>
        </w:rPr>
      </w:pPr>
    </w:p>
    <w:p w14:paraId="75E968AC">
      <w:pPr>
        <w:rPr>
          <w:rFonts w:ascii="仿宋_GB2312" w:hAnsi="Times New Roman" w:eastAsia="仿宋_GB2312"/>
          <w:b/>
          <w:sz w:val="32"/>
          <w:szCs w:val="32"/>
        </w:rPr>
      </w:pPr>
    </w:p>
    <w:p w14:paraId="700AA10A">
      <w:pPr>
        <w:ind w:firstLine="646"/>
        <w:jc w:val="center"/>
        <w:rPr>
          <w:rFonts w:ascii="黑体" w:hAnsi="黑体" w:eastAsia="黑体" w:cs="黑体"/>
          <w:sz w:val="32"/>
          <w:szCs w:val="32"/>
        </w:rPr>
        <w:sectPr>
          <w:footerReference r:id="rId5" w:type="default"/>
          <w:pgSz w:w="11906" w:h="16838"/>
          <w:pgMar w:top="1701" w:right="1474" w:bottom="1247" w:left="1587" w:header="851" w:footer="992" w:gutter="0"/>
          <w:pgNumType w:start="1"/>
          <w:cols w:space="720" w:num="1"/>
          <w:docGrid w:type="lines" w:linePitch="312" w:charSpace="0"/>
        </w:sectPr>
      </w:pPr>
    </w:p>
    <w:p w14:paraId="148FD8AC">
      <w:pPr>
        <w:ind w:firstLine="646"/>
        <w:jc w:val="center"/>
        <w:rPr>
          <w:rFonts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bCs/>
          <w:sz w:val="32"/>
          <w:szCs w:val="32"/>
        </w:rPr>
        <w:t>自治区广电局</w:t>
      </w:r>
      <w:r>
        <w:rPr>
          <w:rFonts w:hint="eastAsia" w:ascii="黑体" w:hAnsi="黑体" w:eastAsia="黑体" w:cs="黑体"/>
          <w:sz w:val="32"/>
          <w:szCs w:val="32"/>
        </w:rPr>
        <w:t>概况</w:t>
      </w:r>
    </w:p>
    <w:p w14:paraId="06D48D08">
      <w:pPr>
        <w:ind w:firstLine="646"/>
        <w:jc w:val="center"/>
        <w:rPr>
          <w:rFonts w:ascii="黑体" w:hAnsi="黑体" w:eastAsia="黑体"/>
          <w:sz w:val="32"/>
          <w:szCs w:val="32"/>
        </w:rPr>
      </w:pPr>
    </w:p>
    <w:p w14:paraId="4C8CE5A9">
      <w:pPr>
        <w:spacing w:line="560" w:lineRule="exact"/>
        <w:ind w:firstLine="646"/>
        <w:rPr>
          <w:rFonts w:ascii="黑体" w:hAnsi="黑体" w:eastAsia="黑体"/>
          <w:sz w:val="32"/>
          <w:szCs w:val="32"/>
        </w:rPr>
      </w:pPr>
      <w:r>
        <w:rPr>
          <w:rFonts w:hint="eastAsia" w:ascii="黑体" w:hAnsi="黑体" w:eastAsia="黑体"/>
          <w:sz w:val="32"/>
          <w:szCs w:val="32"/>
        </w:rPr>
        <w:t>一、本部门职责</w:t>
      </w:r>
    </w:p>
    <w:p w14:paraId="2F620A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（一）自治区广电局本级。</w:t>
      </w:r>
    </w:p>
    <w:p w14:paraId="689313B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1.贯彻执行党的宣传方针政策，拟订全区性广播电视、网络视听节目服务管理的政策措施，加强广播电视阵地管理把握正确的舆论导向和创作导向。</w:t>
      </w:r>
    </w:p>
    <w:p w14:paraId="744CF6F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2.负责起草广播电视、网络视听节目服务管理的地方性法规、规章和规范性文件，制定相关技术规范并组织实施和监督检查，指导、推进全区广播电视领域的体制机制改革。</w:t>
      </w:r>
    </w:p>
    <w:p w14:paraId="122CAC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3.负责制定全区广播电视领域事业发展政策和规划，组织实施广播电视公共服务重大公益工程和公益活动，指导、监督全区广播电视重点基础设施建设，扶助老少边山贫地区广播电视建设和发展。</w:t>
      </w:r>
    </w:p>
    <w:p w14:paraId="2FBDF35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4.指导、协调、推动全区广播电视领域产业发展，制定发展规划、产业政策并组织实施。</w:t>
      </w:r>
    </w:p>
    <w:p w14:paraId="33584D9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5.负责对各类广播电视机构进行业务指导和行业监管，会同有关部门对网络视听节目服务机构进行管理。实施依法设定的行政许可，组织查处重大违法违规行为。</w:t>
      </w:r>
    </w:p>
    <w:p w14:paraId="1C9390D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6.指导全区电视剧行业发展和电视剧创作生产。监督管理、审查全区广播电视节目、网络视听节目和公共视听载体播放的视听节目的内容和质量。指导、监管广播电视广告投放。</w:t>
      </w:r>
    </w:p>
    <w:p w14:paraId="3C1093E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7.指导、协调广播电视全区性重大宣传活动，指导实施广播电视节目评价工作。</w:t>
      </w:r>
    </w:p>
    <w:p w14:paraId="365E1A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8.负责推进全区广播电视与新媒体新技术新业态融合发展，推进广电网与电信网、互联网三网融合。</w:t>
      </w:r>
    </w:p>
    <w:p w14:paraId="00D78E4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组织制定全区广播电视和网络视听科技发展规划，组织实施广播电视和网络视听科技发展规划、政策和行业技术标准，并进行监督检查。负责对全区广播电视节目传输覆盖、监测和安全播出进行监管，指导、推进全区的国家应急广播体系建设。指导、协调全区广播电视系统安全和保卫工作。</w:t>
      </w:r>
    </w:p>
    <w:p w14:paraId="6F7FD1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10.开展广播电视对外交流与合作，协调推动全区广播电视领域“走出去”工作，负责广播电视节目的进口、收录和管理。</w:t>
      </w:r>
    </w:p>
    <w:p w14:paraId="48484AE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11.指导全区广播电视、网络视听行业人才队伍建设。</w:t>
      </w:r>
    </w:p>
    <w:p w14:paraId="05CAB50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12.完成自治区党委、自治区人民政府交办的其他任务。</w:t>
      </w:r>
    </w:p>
    <w:p w14:paraId="1D2131D4">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（二）自治区广电局机关服务中心。</w:t>
      </w:r>
    </w:p>
    <w:p w14:paraId="1B6D19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是机关的重要组成部分，直接担负局机关后勤行政管理和各项服务保障职能；同时，具有事业单位法人资格，实行独立核算。</w:t>
      </w:r>
    </w:p>
    <w:p w14:paraId="21A35D6E">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（三）广西广播电视学校。</w:t>
      </w:r>
    </w:p>
    <w:p w14:paraId="7C7120D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培养广播电视行业中等专业技术人才。</w:t>
      </w:r>
    </w:p>
    <w:p w14:paraId="68DE5DCF">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（四）广西广播电视监测中心。</w:t>
      </w:r>
    </w:p>
    <w:p w14:paraId="745DAB8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全区广播电视安全播出情况和覆盖效果的监测工作；监听监看广播电视节目、互联网等信息网络视听节目、新媒体视听节目收听收看播出情况监测和分析研判及境外卫星电视等播出情况；负责全区广播电视安全播出保障体系建设和运行的监测工作；承担重大宣传活动期间的广播电视安全播出监测工作；开展广播电视收听收看信息咨询、技术检测和安全测评等工作。</w:t>
      </w:r>
    </w:p>
    <w:p w14:paraId="4395A960">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（五）广西广播电视信息中心（广西音像资料馆）。</w:t>
      </w:r>
    </w:p>
    <w:p w14:paraId="51B0466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广播电视信息报送、发布和舆情监控工作；负责广西广电局网站、“广西广电局”手机客户端、政务微信、政务微博等信息载体建设的技术保障；承担广播电视系统政务专网和机关局域外网等信息（网络）安全、广播电视协同办公系统运维和办公自动化保障工作。负责为广播电视行业和社会各界提供音像资料拍摄、检索、借阅、研究和抢救备份服务；负责收集整理广西广播电视博物馆各类展品、重要事件、设备场景并进行更新和维护。</w:t>
      </w:r>
    </w:p>
    <w:p w14:paraId="762F1058">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（六）广西新闻出版技工学校。</w:t>
      </w:r>
    </w:p>
    <w:p w14:paraId="4E03702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培养新闻出版行业中等专业技术人才。</w:t>
      </w:r>
    </w:p>
    <w:p w14:paraId="753EF49A">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（七）广西广播电视技术中心。</w:t>
      </w:r>
    </w:p>
    <w:p w14:paraId="0D781511">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承担中央和自治区广播电视主频道（频率）的无线传播传输覆盖及广播实验任务；承担自治区直属和自治区建设的广播电视无线发射台站的运行维护管理；承担全区广播电视无线传播覆盖规划建设和自治区建设的广播电视无线发射台站的技术支持管理；承担广播电视无线传播技术研发及应急广播技术服务；承担新闻出版广播影视新媒体新业务（无线）的集成分发和服务。</w:t>
      </w:r>
    </w:p>
    <w:p w14:paraId="3BEAB02C">
      <w:pPr>
        <w:spacing w:line="560" w:lineRule="exact"/>
        <w:ind w:firstLine="646"/>
        <w:rPr>
          <w:rFonts w:ascii="黑体" w:hAnsi="黑体" w:eastAsia="黑体"/>
          <w:sz w:val="32"/>
          <w:szCs w:val="32"/>
        </w:rPr>
      </w:pPr>
      <w:r>
        <w:rPr>
          <w:rFonts w:hint="eastAsia" w:ascii="黑体" w:hAnsi="黑体" w:eastAsia="黑体"/>
          <w:sz w:val="32"/>
          <w:szCs w:val="32"/>
        </w:rPr>
        <w:t>二、机构设置情况</w:t>
      </w:r>
    </w:p>
    <w:p w14:paraId="5A4359F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广西壮族自治区广播电视局为自治区人民政府直属机构，为正厅级。纳入自治区广电局部门预算管理的全额拨款单位23个，具体如下。</w:t>
      </w:r>
    </w:p>
    <w:p w14:paraId="2051B7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（一）自治区广电局本级。</w:t>
      </w:r>
    </w:p>
    <w:p w14:paraId="1CB926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内设机构共12个，即办公室、对外交流合作处、政策法制处（行政审批办公室）、宣传处（电视剧处）、传媒机构管理处、网络视听节目管理处（媒体融合发展处）、安全传输保障处（科技处）、公共服务处、规划财务处、人事处、机关党委、离退休人员工作处。</w:t>
      </w:r>
    </w:p>
    <w:p w14:paraId="2E87B4A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（二）二级预算单位6个。</w:t>
      </w:r>
    </w:p>
    <w:p w14:paraId="1DFFF9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1.自治区广电局机关服务中心</w:t>
      </w:r>
    </w:p>
    <w:p w14:paraId="1F97F9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2.广西广播电视学校</w:t>
      </w:r>
    </w:p>
    <w:p w14:paraId="2381D15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3.广西广播电视监测中心</w:t>
      </w:r>
    </w:p>
    <w:p w14:paraId="562C93A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4.广西广播电视信息中心（广西音像资料馆）</w:t>
      </w:r>
    </w:p>
    <w:p w14:paraId="1290A6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5.广西新闻出版技工学校</w:t>
      </w:r>
    </w:p>
    <w:p w14:paraId="319A17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6.广西广播电视技术中心</w:t>
      </w:r>
    </w:p>
    <w:p w14:paraId="38482C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（三）三级预算单位16个</w:t>
      </w:r>
    </w:p>
    <w:p w14:paraId="740273A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1.广西广播电视技术中心南宁分中心</w:t>
      </w:r>
    </w:p>
    <w:p w14:paraId="11974B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2.广西广播电视地球站</w:t>
      </w:r>
    </w:p>
    <w:p w14:paraId="2E63D61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3.广西广播电视无线传播枢纽台</w:t>
      </w:r>
    </w:p>
    <w:p w14:paraId="68112A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4.广西广播电视技术中心玉林分中心</w:t>
      </w:r>
    </w:p>
    <w:p w14:paraId="3AEC41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5.广西广播电视技术中心柳州分中心</w:t>
      </w:r>
    </w:p>
    <w:p w14:paraId="05E22B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6.广西广播电视技术中心桂林分中心</w:t>
      </w:r>
    </w:p>
    <w:p w14:paraId="7F8603A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7.广西广播电视技术中心河池分中心</w:t>
      </w:r>
    </w:p>
    <w:p w14:paraId="011FAA8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8.广西广播电视技术中心崇左分中心</w:t>
      </w:r>
    </w:p>
    <w:p w14:paraId="24DBC3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9.广西广播电视技术中心防城港分中心</w:t>
      </w:r>
    </w:p>
    <w:p w14:paraId="1B98CB8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10.广西广播电视技术中心百色分中心</w:t>
      </w:r>
    </w:p>
    <w:p w14:paraId="53C9DFD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11.广西广播电视技术中心钦州分中心</w:t>
      </w:r>
    </w:p>
    <w:p w14:paraId="76B9347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12.广西广播电视技术中心梧州分中心</w:t>
      </w:r>
    </w:p>
    <w:p w14:paraId="1D92B7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13.广西广播电视技术中心北海分中心</w:t>
      </w:r>
    </w:p>
    <w:p w14:paraId="4A9705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14.广西广播电视技术中心来宾分中心</w:t>
      </w:r>
    </w:p>
    <w:p w14:paraId="1E1F6A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15.广西广播电视技术中心贺州分中心</w:t>
      </w:r>
    </w:p>
    <w:p w14:paraId="2CFB191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16.广西广播电视技术中心贵港分中心</w:t>
      </w:r>
    </w:p>
    <w:p w14:paraId="0132BC43">
      <w:pPr>
        <w:spacing w:line="560" w:lineRule="exact"/>
        <w:rPr>
          <w:rFonts w:ascii="仿宋_GB2312" w:hAnsi="Times New Roman" w:eastAsia="仿宋_GB2312"/>
          <w:b/>
          <w:sz w:val="32"/>
          <w:szCs w:val="32"/>
        </w:rPr>
      </w:pPr>
    </w:p>
    <w:p w14:paraId="14C77AFB">
      <w:pPr>
        <w:spacing w:line="560" w:lineRule="exact"/>
        <w:jc w:val="center"/>
        <w:rPr>
          <w:rFonts w:ascii="黑体" w:hAnsi="黑体" w:eastAsia="黑体"/>
          <w:sz w:val="32"/>
          <w:szCs w:val="32"/>
        </w:rPr>
      </w:pPr>
      <w:r>
        <w:rPr>
          <w:rFonts w:hint="eastAsia" w:ascii="黑体" w:hAnsi="黑体" w:eastAsia="黑体"/>
          <w:sz w:val="32"/>
          <w:szCs w:val="32"/>
        </w:rPr>
        <w:t>第二部分：自治区广电局</w:t>
      </w:r>
      <w:r>
        <w:rPr>
          <w:rFonts w:hint="eastAsia" w:ascii="黑体" w:hAnsi="黑体" w:eastAsia="黑体"/>
          <w:sz w:val="32"/>
          <w:szCs w:val="32"/>
          <w:lang w:eastAsia="zh-CN"/>
        </w:rPr>
        <w:t>2023年</w:t>
      </w:r>
      <w:r>
        <w:rPr>
          <w:rFonts w:hint="eastAsia" w:ascii="黑体" w:hAnsi="黑体" w:eastAsia="黑体"/>
          <w:sz w:val="32"/>
          <w:szCs w:val="32"/>
        </w:rPr>
        <w:t>度部门决算报表</w:t>
      </w:r>
    </w:p>
    <w:p w14:paraId="42ABFAD2">
      <w:pPr>
        <w:spacing w:line="560" w:lineRule="exact"/>
        <w:jc w:val="center"/>
        <w:rPr>
          <w:rFonts w:ascii="黑体" w:hAnsi="黑体" w:eastAsia="黑体"/>
          <w:sz w:val="32"/>
          <w:szCs w:val="32"/>
        </w:rPr>
      </w:pPr>
    </w:p>
    <w:p w14:paraId="3AFDB46B">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表一：收入支出决算总表</w:t>
      </w:r>
    </w:p>
    <w:p w14:paraId="32A5BA51">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表二：收入决算表</w:t>
      </w:r>
    </w:p>
    <w:p w14:paraId="13EA4038">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表三：支出决算表</w:t>
      </w:r>
    </w:p>
    <w:p w14:paraId="4003A8B6">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表四：财政拨款收入支出决算总表</w:t>
      </w:r>
    </w:p>
    <w:p w14:paraId="4E0C8023">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表五：一般公共预算财政拨款支出决算表</w:t>
      </w:r>
    </w:p>
    <w:p w14:paraId="11481572">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表六：一般公共预算财政拨款基本支出决算明细表</w:t>
      </w:r>
    </w:p>
    <w:p w14:paraId="5F56F1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表七：政府性基金预算财政拨款收入支出决算表</w:t>
      </w:r>
    </w:p>
    <w:p w14:paraId="0500455A">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表八：国有资本经营预算财政拨款支出决算表</w:t>
      </w:r>
    </w:p>
    <w:p w14:paraId="0850A478">
      <w:pPr>
        <w:spacing w:line="56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表九：</w:t>
      </w:r>
      <w:r>
        <w:rPr>
          <w:rFonts w:hint="eastAsia" w:ascii="仿宋_GB2312" w:hAnsi="仿宋_GB2312" w:eastAsia="仿宋_GB2312" w:cs="仿宋_GB2312"/>
          <w:spacing w:val="-11"/>
          <w:sz w:val="32"/>
          <w:szCs w:val="32"/>
        </w:rPr>
        <w:t>一般公共预算财政拨款安排的“三公”经费支出决算表</w:t>
      </w:r>
    </w:p>
    <w:p w14:paraId="0AFB6D05">
      <w:pPr>
        <w:spacing w:line="56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（详见附件：广西</w:t>
      </w:r>
      <w:r>
        <w:rPr>
          <w:rFonts w:ascii="仿宋_GB2312" w:hAnsi="仿宋_GB2312" w:eastAsia="仿宋_GB2312" w:cs="仿宋_GB2312"/>
          <w:sz w:val="32"/>
          <w:szCs w:val="32"/>
        </w:rPr>
        <w:t>壮族自治区广播电视局</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度部门决算公开附表）</w:t>
      </w:r>
    </w:p>
    <w:p w14:paraId="0CFDDD51">
      <w:pPr>
        <w:spacing w:line="560" w:lineRule="exact"/>
        <w:rPr>
          <w:rFonts w:ascii="黑体" w:hAnsi="黑体" w:eastAsia="黑体"/>
          <w:sz w:val="32"/>
          <w:szCs w:val="32"/>
        </w:rPr>
      </w:pPr>
    </w:p>
    <w:p w14:paraId="267D34FE">
      <w:pPr>
        <w:spacing w:line="560" w:lineRule="exact"/>
        <w:ind w:firstLine="640" w:firstLineChars="200"/>
        <w:rPr>
          <w:rFonts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rPr>
        <w:t>自治区广电局</w:t>
      </w:r>
      <w:r>
        <w:rPr>
          <w:rFonts w:hint="eastAsia" w:ascii="黑体" w:hAnsi="黑体" w:eastAsia="黑体"/>
          <w:sz w:val="32"/>
          <w:szCs w:val="32"/>
          <w:lang w:eastAsia="zh-CN"/>
        </w:rPr>
        <w:t>2023年</w:t>
      </w:r>
      <w:r>
        <w:rPr>
          <w:rFonts w:hint="eastAsia" w:ascii="黑体" w:hAnsi="黑体" w:eastAsia="黑体"/>
          <w:sz w:val="32"/>
          <w:szCs w:val="32"/>
        </w:rPr>
        <w:t>度部门决算情况说明</w:t>
      </w:r>
    </w:p>
    <w:p w14:paraId="1EB344AB">
      <w:pPr>
        <w:autoSpaceDE w:val="0"/>
        <w:autoSpaceDN w:val="0"/>
        <w:adjustRightInd w:val="0"/>
        <w:spacing w:line="560" w:lineRule="exact"/>
        <w:ind w:firstLine="640" w:firstLineChars="200"/>
        <w:jc w:val="left"/>
        <w:rPr>
          <w:rFonts w:ascii="黑体" w:hAnsi="黑体" w:eastAsia="黑体" w:cs="仿宋_GB2312"/>
          <w:kern w:val="0"/>
          <w:sz w:val="32"/>
          <w:szCs w:val="32"/>
        </w:rPr>
      </w:pPr>
    </w:p>
    <w:p w14:paraId="09EA5591">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2023年</w:t>
      </w:r>
      <w:r>
        <w:rPr>
          <w:rFonts w:hint="eastAsia" w:ascii="黑体" w:hAnsi="黑体" w:eastAsia="黑体" w:cs="仿宋_GB2312"/>
          <w:kern w:val="0"/>
          <w:sz w:val="32"/>
          <w:szCs w:val="32"/>
        </w:rPr>
        <w:t>度收入支出决算总体情况</w:t>
      </w:r>
    </w:p>
    <w:p w14:paraId="5BE70B4F">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（一）本部门</w:t>
      </w: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度总收入</w:t>
      </w:r>
      <w:r>
        <w:rPr>
          <w:rFonts w:hint="eastAsia" w:ascii="仿宋_GB2312" w:hAnsi="仿宋_GB2312" w:eastAsia="仿宋_GB2312" w:cs="仿宋_GB2312"/>
          <w:spacing w:val="6"/>
          <w:sz w:val="32"/>
          <w:szCs w:val="32"/>
        </w:rPr>
        <w:t>60,810.86</w:t>
      </w:r>
      <w:r>
        <w:rPr>
          <w:rFonts w:hint="eastAsia" w:ascii="仿宋_GB2312" w:hAnsi="仿宋_GB2312" w:eastAsia="仿宋_GB2312" w:cs="仿宋_GB2312"/>
          <w:kern w:val="0"/>
          <w:sz w:val="32"/>
          <w:szCs w:val="32"/>
        </w:rPr>
        <w:t>万元，其中本年收入59,402.47万元,较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153.04万元，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rPr>
        <w:t>7.52%。收入具体情况如下。</w:t>
      </w:r>
    </w:p>
    <w:p w14:paraId="682884AA">
      <w:pPr>
        <w:autoSpaceDE w:val="0"/>
        <w:autoSpaceDN w:val="0"/>
        <w:adjustRightIn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kern w:val="0"/>
          <w:sz w:val="32"/>
          <w:szCs w:val="32"/>
        </w:rPr>
        <w:t>.一般公共预算财政拨款收入57,794.08万元，为自治区本级财政当年拨付的资金。较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rPr>
        <w:t>4,308.08万元，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rPr>
        <w:t>8.05%，</w:t>
      </w:r>
      <w:r>
        <w:rPr>
          <w:rFonts w:hint="eastAsia" w:ascii="仿宋_GB2312" w:hAnsi="仿宋_GB2312" w:eastAsia="仿宋_GB2312" w:cs="仿宋_GB2312"/>
          <w:color w:val="auto"/>
          <w:kern w:val="0"/>
          <w:sz w:val="32"/>
          <w:szCs w:val="32"/>
        </w:rPr>
        <w:t>主要原因是：一是政府加大对广西新闻出版技工学校新校区建设资金投入力度；二是广西广播电视技术中心根据2023年工作任务安排，增加广西本地节目地面数字电视覆盖网运行维护经费（一期）700万元和预算项目（GD）资金820万元；三是根据《广西壮族自治区人力资源和社会保障厅 广西壮族自治区财政厅关于下达区直事业单位2023年在职在编人员绩效工资总量的通知》（桂人社函〔2023〕185号）文对广西广播电视技术中心绩效工资人均及总量的核定，2023年绩效工资总量较2022年增加；四是2023年退休人员较2022年增人增资，相关人员经费相应增加；五是2023年死亡人员较2022年增加，死亡抚恤金相应增加。</w:t>
      </w:r>
    </w:p>
    <w:p w14:paraId="340AA80D">
      <w:pPr>
        <w:autoSpaceDE w:val="0"/>
        <w:autoSpaceDN w:val="0"/>
        <w:adjustRightIn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2.政府性基金预算财政拨款收入0万元，为自治区本级财政当年拨付的资金。较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度决算数增加（减少）0万元，增长（下降）0%，主要原因是没有政府性基金预算财政拨款收入。</w:t>
      </w:r>
    </w:p>
    <w:p w14:paraId="0F93E58E">
      <w:pPr>
        <w:autoSpaceDE w:val="0"/>
        <w:autoSpaceDN w:val="0"/>
        <w:adjustRightIn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3</w:t>
      </w:r>
      <w:r>
        <w:rPr>
          <w:rFonts w:hint="eastAsia" w:ascii="仿宋_GB2312" w:hAnsi="仿宋_GB2312" w:eastAsia="仿宋_GB2312" w:cs="仿宋_GB2312"/>
          <w:kern w:val="0"/>
          <w:sz w:val="32"/>
          <w:szCs w:val="32"/>
        </w:rPr>
        <w:t>.国有资本经营预算财政拨款收入0万元，为自治区本级财政当年拨付的资金。较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度决算数增加（减少）0万元，增长（下降）0%，主要原因是没有国有资本经营预算财政拨款收入。</w:t>
      </w:r>
    </w:p>
    <w:p w14:paraId="1E9EE6FF">
      <w:pPr>
        <w:autoSpaceDE w:val="0"/>
        <w:autoSpaceDN w:val="0"/>
        <w:adjustRightInd w:val="0"/>
        <w:spacing w:line="560" w:lineRule="exact"/>
        <w:ind w:firstLine="627" w:firstLineChars="196"/>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4.事业收入8</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3.8</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万元，为事业单位开展业务活动取得的收入。较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度决算数减少59.97万元，下降6.94%，主要原因是：</w:t>
      </w:r>
      <w:r>
        <w:rPr>
          <w:rFonts w:hint="eastAsia" w:ascii="仿宋_GB2312" w:hAnsi="仿宋_GB2312" w:eastAsia="仿宋_GB2312" w:cs="仿宋_GB2312"/>
          <w:color w:val="auto"/>
          <w:kern w:val="0"/>
          <w:sz w:val="32"/>
          <w:szCs w:val="32"/>
        </w:rPr>
        <w:t>一是根据广播电视事业发展重心的转变，国家广电总局监管中心压减经费划拨，2023年国家广电总局监管中心与南宁分中心签订的《短波发射设备运行维护管理协议》中的协议金额减少；二是广西广播电视学校2023年在校住宿学生人数减少，住宿费收入减少。</w:t>
      </w:r>
    </w:p>
    <w:p w14:paraId="04C7F18D">
      <w:pPr>
        <w:autoSpaceDE w:val="0"/>
        <w:autoSpaceDN w:val="0"/>
        <w:adjustRightIn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5</w:t>
      </w:r>
      <w:r>
        <w:rPr>
          <w:rFonts w:hint="eastAsia" w:ascii="仿宋_GB2312" w:hAnsi="仿宋_GB2312" w:eastAsia="仿宋_GB2312" w:cs="仿宋_GB2312"/>
          <w:kern w:val="0"/>
          <w:sz w:val="32"/>
          <w:szCs w:val="32"/>
        </w:rPr>
        <w:t>.经营收入0万，为事业单位在业务活动之外开展非独立核算经营活动取得的收入。较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度决算数增加（减少）0万元，增长（下降）0 %，主要原因是没有经营收入。</w:t>
      </w:r>
    </w:p>
    <w:p w14:paraId="1B747EB0">
      <w:pPr>
        <w:autoSpaceDE w:val="0"/>
        <w:autoSpaceDN w:val="0"/>
        <w:adjustRightIn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6</w:t>
      </w:r>
      <w:r>
        <w:rPr>
          <w:rFonts w:hint="eastAsia" w:ascii="仿宋_GB2312" w:hAnsi="仿宋_GB2312" w:eastAsia="仿宋_GB2312" w:cs="仿宋_GB2312"/>
          <w:kern w:val="0"/>
          <w:sz w:val="32"/>
          <w:szCs w:val="32"/>
        </w:rPr>
        <w:t>.其他收入804.51万元，为预算单位在“财政拨款收入”</w:t>
      </w:r>
    </w:p>
    <w:p w14:paraId="3169093E">
      <w:pPr>
        <w:autoSpaceDE w:val="0"/>
        <w:autoSpaceDN w:val="0"/>
        <w:adjustRightInd w:val="0"/>
        <w:spacing w:line="56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“事业收入”“经营收入”之外取得的收入。较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度决算数减少95.05万元，下降10.57%，</w:t>
      </w:r>
      <w:r>
        <w:rPr>
          <w:rFonts w:hint="eastAsia" w:ascii="仿宋_GB2312" w:hAnsi="仿宋_GB2312" w:eastAsia="仿宋_GB2312" w:cs="仿宋_GB2312"/>
          <w:color w:val="auto"/>
          <w:kern w:val="0"/>
          <w:sz w:val="32"/>
          <w:szCs w:val="32"/>
        </w:rPr>
        <w:t>主要原因是：广西广播电视技术中心2023年根据业务量及场地出租情况，广播电视代维代管收入及广播电视转播台站场地出租收入较2022年有所减少。</w:t>
      </w:r>
    </w:p>
    <w:p w14:paraId="7EAE4DBD">
      <w:pPr>
        <w:numPr>
          <w:ilvl w:val="0"/>
          <w:numId w:val="0"/>
        </w:num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使用非财政拨款结余472.06万元，主要是所属事业单位在当年的“财政拨款收入”“事业收入”“经营收入”及“其他收入”不能保证其支出的情况下，使用以前年度积累的非财政拨款结余弥补本年度收支缺口的资金。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rPr>
        <w:t>70.39万元，</w:t>
      </w:r>
      <w:r>
        <w:rPr>
          <w:rFonts w:hint="eastAsia" w:ascii="仿宋_GB2312" w:hAnsi="仿宋_GB2312" w:eastAsia="仿宋_GB2312" w:cs="仿宋_GB2312"/>
          <w:kern w:val="0"/>
          <w:sz w:val="32"/>
          <w:szCs w:val="32"/>
          <w:lang w:eastAsia="zh-CN"/>
        </w:rPr>
        <w:t>下降</w:t>
      </w:r>
      <w:r>
        <w:rPr>
          <w:rFonts w:hint="eastAsia" w:ascii="仿宋_GB2312" w:hAnsi="仿宋_GB2312" w:eastAsia="仿宋_GB2312" w:cs="仿宋_GB2312"/>
          <w:kern w:val="0"/>
          <w:sz w:val="32"/>
          <w:szCs w:val="32"/>
        </w:rPr>
        <w:t>12.98%，</w:t>
      </w:r>
      <w:r>
        <w:rPr>
          <w:rFonts w:hint="eastAsia" w:ascii="仿宋_GB2312" w:hAnsi="仿宋_GB2312" w:eastAsia="仿宋_GB2312" w:cs="仿宋_GB2312"/>
          <w:color w:val="auto"/>
          <w:kern w:val="0"/>
          <w:sz w:val="32"/>
          <w:szCs w:val="32"/>
          <w:highlight w:val="none"/>
        </w:rPr>
        <w:t>主要原因</w:t>
      </w:r>
      <w:r>
        <w:rPr>
          <w:rFonts w:hint="eastAsia" w:ascii="仿宋_GB2312" w:hAnsi="仿宋_GB2312" w:eastAsia="仿宋_GB2312" w:cs="仿宋_GB2312"/>
          <w:color w:val="auto"/>
          <w:kern w:val="0"/>
          <w:sz w:val="32"/>
          <w:szCs w:val="32"/>
          <w:highlight w:val="none"/>
          <w:lang w:eastAsia="zh-CN"/>
        </w:rPr>
        <w:t>是：</w:t>
      </w:r>
      <w:r>
        <w:rPr>
          <w:rFonts w:hint="eastAsia" w:ascii="仿宋_GB2312" w:hAnsi="仿宋_GB2312" w:eastAsia="仿宋_GB2312" w:cs="仿宋_GB2312"/>
          <w:color w:val="auto"/>
          <w:kern w:val="0"/>
          <w:sz w:val="32"/>
          <w:szCs w:val="32"/>
          <w:highlight w:val="none"/>
        </w:rPr>
        <w:t>一是广西新闻出版技工学校优化人员结构，压减非财政拨款支出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二是广西广播电视技术中心年中执行年度单位预算，其他资金的收入与支出之间的差额较上年减少，因此，使用非财政拨款结余安排的资金相应减少。</w:t>
      </w:r>
    </w:p>
    <w:p w14:paraId="65AB602A">
      <w:pPr>
        <w:numPr>
          <w:ilvl w:val="0"/>
          <w:numId w:val="0"/>
        </w:num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Cs/>
          <w:kern w:val="0"/>
          <w:sz w:val="32"/>
          <w:szCs w:val="32"/>
        </w:rPr>
        <w:t>8</w:t>
      </w:r>
      <w:r>
        <w:rPr>
          <w:rFonts w:hint="eastAsia" w:ascii="仿宋_GB2312" w:hAnsi="仿宋_GB2312" w:eastAsia="仿宋_GB2312" w:cs="仿宋_GB2312"/>
          <w:kern w:val="0"/>
          <w:sz w:val="32"/>
          <w:szCs w:val="32"/>
        </w:rPr>
        <w:t>.上年结转和结余936.33万元，为以前年度支出预算因客观条件变化未执行完毕、结转到本年度按有关规定继续使用的资金。较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rPr>
        <w:t>352.36万元，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rPr>
        <w:t>60.34%，</w:t>
      </w:r>
      <w:r>
        <w:rPr>
          <w:rFonts w:hint="eastAsia" w:ascii="仿宋_GB2312" w:hAnsi="仿宋_GB2312" w:eastAsia="仿宋_GB2312" w:cs="仿宋_GB2312"/>
          <w:color w:val="auto"/>
          <w:kern w:val="0"/>
          <w:sz w:val="32"/>
          <w:szCs w:val="32"/>
          <w:highlight w:val="none"/>
        </w:rPr>
        <w:t>主要原因是各单位加大力度清理项目结转结余资金，2022年跨年延续至2023年的项目增加。</w:t>
      </w:r>
    </w:p>
    <w:p w14:paraId="4D43F392">
      <w:pPr>
        <w:autoSpaceDE w:val="0"/>
        <w:autoSpaceDN w:val="0"/>
        <w:adjustRightIn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（二）本部门</w:t>
      </w: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度总支出60,810.86万元，其中本年支出58,512.33万元,较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rPr>
        <w:t>4,059.41万元，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rPr>
        <w:t>7.45%。支出具体情况如下：</w:t>
      </w:r>
    </w:p>
    <w:p w14:paraId="179CB575">
      <w:pPr>
        <w:autoSpaceDE w:val="0"/>
        <w:autoSpaceDN w:val="0"/>
        <w:adjustRightIn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kern w:val="0"/>
          <w:sz w:val="32"/>
          <w:szCs w:val="32"/>
        </w:rPr>
        <w:t>.一般公共服务支出0万元，较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度决算数增加（减少）</w:t>
      </w:r>
      <w:r>
        <w:rPr>
          <w:rFonts w:hint="eastAsia" w:ascii="仿宋_GB2312" w:hAnsi="仿宋_GB2312" w:eastAsia="仿宋_GB2312" w:cs="仿宋_GB2312"/>
          <w:spacing w:val="-6"/>
          <w:kern w:val="0"/>
          <w:sz w:val="32"/>
          <w:szCs w:val="32"/>
        </w:rPr>
        <w:t>0万元，增长（下降）0%，主要原因是本年没有一般公共服务支出。</w:t>
      </w:r>
    </w:p>
    <w:p w14:paraId="5115C802">
      <w:pPr>
        <w:autoSpaceDE w:val="0"/>
        <w:autoSpaceDN w:val="0"/>
        <w:adjustRightIn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2.教育支出（类）8,504.18万元，主要用于广西广播电视学校中专教育、广西新闻出版技工学校技校教育支出。较</w:t>
      </w:r>
      <w:r>
        <w:rPr>
          <w:rFonts w:hint="eastAsia" w:ascii="仿宋_GB2312" w:hAnsi="仿宋_GB2312" w:eastAsia="仿宋_GB2312" w:cs="仿宋_GB2312"/>
          <w:kern w:val="0"/>
          <w:sz w:val="32"/>
          <w:szCs w:val="32"/>
          <w:lang w:eastAsia="zh-CN"/>
        </w:rPr>
        <w:t>2022年</w:t>
      </w:r>
      <w:r>
        <w:rPr>
          <w:rFonts w:hint="eastAsia" w:ascii="仿宋_GB2312" w:hAnsi="仿宋_GB2312" w:eastAsia="仿宋_GB2312" w:cs="仿宋_GB2312"/>
          <w:kern w:val="0"/>
          <w:sz w:val="32"/>
          <w:szCs w:val="32"/>
        </w:rPr>
        <w:t>度决算数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rPr>
        <w:t>1,717万元，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rPr>
        <w:t>25.30%，</w:t>
      </w:r>
      <w:r>
        <w:rPr>
          <w:rFonts w:hint="eastAsia" w:ascii="仿宋_GB2312" w:hAnsi="仿宋_GB2312" w:eastAsia="仿宋_GB2312" w:cs="仿宋_GB2312"/>
          <w:color w:val="auto"/>
          <w:kern w:val="0"/>
          <w:sz w:val="32"/>
          <w:szCs w:val="32"/>
        </w:rPr>
        <w:t>主要原因：</w:t>
      </w:r>
      <w:r>
        <w:rPr>
          <w:rFonts w:hint="eastAsia" w:ascii="仿宋_GB2312" w:hAnsi="仿宋_GB2312" w:eastAsia="仿宋_GB2312" w:cs="仿宋_GB2312"/>
          <w:color w:val="auto"/>
          <w:kern w:val="0"/>
          <w:sz w:val="32"/>
          <w:szCs w:val="32"/>
          <w:lang w:eastAsia="zh-CN"/>
        </w:rPr>
        <w:t>一是</w:t>
      </w:r>
      <w:r>
        <w:rPr>
          <w:rFonts w:hint="eastAsia" w:ascii="仿宋_GB2312" w:hAnsi="仿宋_GB2312" w:eastAsia="仿宋_GB2312" w:cs="仿宋_GB2312"/>
          <w:color w:val="auto"/>
          <w:kern w:val="0"/>
          <w:sz w:val="32"/>
          <w:szCs w:val="32"/>
        </w:rPr>
        <w:t>广西广播电视学校学生宿舍、食堂综合楼工程项目在2022年暂停施工，资金结转1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242.67万元至2023年使用，该项目在2023年恢复正常施工后，按照合同支付工程进度款，支出增加，因此2023年较2022年增幅较大</w:t>
      </w:r>
      <w:r>
        <w:rPr>
          <w:rFonts w:hint="eastAsia" w:ascii="仿宋_GB2312" w:hAnsi="仿宋_GB2312" w:eastAsia="仿宋_GB2312" w:cs="仿宋_GB2312"/>
          <w:color w:val="auto"/>
          <w:kern w:val="0"/>
          <w:sz w:val="32"/>
          <w:szCs w:val="32"/>
          <w:lang w:eastAsia="zh-CN"/>
        </w:rPr>
        <w:t>；二是</w:t>
      </w:r>
      <w:r>
        <w:rPr>
          <w:rFonts w:hint="eastAsia" w:ascii="仿宋_GB2312" w:hAnsi="仿宋_GB2312" w:eastAsia="仿宋_GB2312" w:cs="仿宋_GB2312"/>
          <w:color w:val="auto"/>
          <w:kern w:val="0"/>
          <w:sz w:val="32"/>
          <w:szCs w:val="32"/>
        </w:rPr>
        <w:t>广西新闻出版技工学校国家扶持新校区建设，相应技校教育支出增加。</w:t>
      </w:r>
    </w:p>
    <w:p w14:paraId="5F96DA46">
      <w:pPr>
        <w:autoSpaceDE w:val="0"/>
        <w:autoSpaceDN w:val="0"/>
        <w:adjustRightInd w:val="0"/>
        <w:spacing w:line="560" w:lineRule="exact"/>
        <w:ind w:firstLine="627" w:firstLineChars="196"/>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rPr>
        <w:t>3.文化旅游体育与传媒支出（类）41,507.83万元，主要用于一般行政管理事务、机关服务、监测监管、传输发射、其他广播电视等方面的支出。较</w:t>
      </w:r>
      <w:r>
        <w:rPr>
          <w:rFonts w:hint="eastAsia" w:ascii="仿宋_GB2312" w:hAnsi="仿宋_GB2312" w:eastAsia="仿宋_GB2312" w:cs="仿宋_GB2312"/>
          <w:kern w:val="0"/>
          <w:sz w:val="32"/>
          <w:szCs w:val="32"/>
          <w:lang w:eastAsia="zh-CN"/>
        </w:rPr>
        <w:t>2022年</w:t>
      </w:r>
      <w:r>
        <w:rPr>
          <w:rFonts w:hint="eastAsia" w:ascii="仿宋_GB2312" w:hAnsi="仿宋_GB2312" w:eastAsia="仿宋_GB2312" w:cs="仿宋_GB2312"/>
          <w:kern w:val="0"/>
          <w:sz w:val="32"/>
          <w:szCs w:val="32"/>
        </w:rPr>
        <w:t>度决算数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rPr>
        <w:t>1,745.07万元，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rPr>
        <w:t>4.39%，</w:t>
      </w:r>
      <w:r>
        <w:rPr>
          <w:rFonts w:hint="eastAsia" w:ascii="仿宋_GB2312" w:hAnsi="仿宋_GB2312" w:eastAsia="仿宋_GB2312" w:cs="仿宋_GB2312"/>
          <w:color w:val="auto"/>
          <w:kern w:val="0"/>
          <w:sz w:val="32"/>
          <w:szCs w:val="32"/>
          <w:highlight w:val="none"/>
        </w:rPr>
        <w:t>主要原因：</w:t>
      </w:r>
      <w:r>
        <w:rPr>
          <w:rFonts w:hint="eastAsia" w:ascii="仿宋_GB2312" w:eastAsia="仿宋_GB2312" w:cs="仿宋_GB2312"/>
          <w:color w:val="auto"/>
          <w:kern w:val="0"/>
          <w:sz w:val="32"/>
          <w:szCs w:val="32"/>
          <w:highlight w:val="none"/>
        </w:rPr>
        <w:t>一是</w:t>
      </w:r>
      <w:r>
        <w:rPr>
          <w:rFonts w:hint="eastAsia" w:ascii="仿宋_GB2312" w:hAnsi="仿宋" w:eastAsia="仿宋_GB2312" w:cs="仿宋"/>
          <w:color w:val="auto"/>
          <w:sz w:val="32"/>
          <w:szCs w:val="32"/>
          <w:highlight w:val="none"/>
        </w:rPr>
        <w:t>根据2023年工作任务安排，</w:t>
      </w:r>
      <w:r>
        <w:rPr>
          <w:rFonts w:hint="eastAsia" w:ascii="仿宋_GB2312" w:eastAsia="仿宋_GB2312" w:cs="仿宋_GB2312"/>
          <w:color w:val="auto"/>
          <w:kern w:val="0"/>
          <w:sz w:val="32"/>
          <w:szCs w:val="32"/>
          <w:highlight w:val="none"/>
        </w:rPr>
        <w:t>项目资金预算总额</w:t>
      </w:r>
      <w:r>
        <w:rPr>
          <w:rFonts w:hint="eastAsia" w:ascii="仿宋_GB2312" w:hAnsi="仿宋" w:eastAsia="仿宋_GB2312" w:cs="仿宋"/>
          <w:color w:val="auto"/>
          <w:sz w:val="32"/>
          <w:szCs w:val="32"/>
          <w:highlight w:val="none"/>
        </w:rPr>
        <w:t>较2022年增加，支出相应增加；</w:t>
      </w:r>
      <w:r>
        <w:rPr>
          <w:rFonts w:hint="eastAsia" w:ascii="仿宋_GB2312" w:eastAsia="仿宋_GB2312" w:cs="仿宋_GB2312"/>
          <w:color w:val="auto"/>
          <w:kern w:val="0"/>
          <w:sz w:val="32"/>
          <w:szCs w:val="32"/>
          <w:highlight w:val="none"/>
        </w:rPr>
        <w:t>二是由于2023年绩效工资核定总量增加，引起绩效工资增加</w:t>
      </w:r>
      <w:r>
        <w:rPr>
          <w:rFonts w:hint="eastAsia" w:ascii="仿宋_GB2312" w:hAnsi="仿宋" w:eastAsia="仿宋_GB2312" w:cs="仿宋"/>
          <w:color w:val="auto"/>
          <w:sz w:val="32"/>
          <w:szCs w:val="32"/>
          <w:highlight w:val="none"/>
        </w:rPr>
        <w:t>，支出相应增加</w:t>
      </w:r>
      <w:r>
        <w:rPr>
          <w:rFonts w:hint="eastAsia" w:ascii="仿宋_GB2312" w:eastAsia="仿宋_GB2312" w:cs="仿宋_GB2312"/>
          <w:color w:val="auto"/>
          <w:kern w:val="0"/>
          <w:sz w:val="32"/>
          <w:szCs w:val="32"/>
          <w:highlight w:val="none"/>
        </w:rPr>
        <w:t>；三是年中增人增资，人员经费相应增加</w:t>
      </w:r>
      <w:r>
        <w:rPr>
          <w:rFonts w:hint="eastAsia" w:ascii="仿宋_GB2312" w:hAnsi="仿宋" w:eastAsia="仿宋_GB2312" w:cs="仿宋"/>
          <w:color w:val="auto"/>
          <w:sz w:val="32"/>
          <w:szCs w:val="32"/>
          <w:highlight w:val="none"/>
        </w:rPr>
        <w:t>，支出相应增加</w:t>
      </w:r>
      <w:r>
        <w:rPr>
          <w:rFonts w:hint="eastAsia" w:ascii="仿宋_GB2312" w:eastAsia="仿宋_GB2312" w:cs="仿宋_GB2312"/>
          <w:color w:val="auto"/>
          <w:kern w:val="0"/>
          <w:sz w:val="32"/>
          <w:szCs w:val="32"/>
          <w:highlight w:val="none"/>
        </w:rPr>
        <w:t>。</w:t>
      </w:r>
    </w:p>
    <w:p w14:paraId="2B969BD7">
      <w:pPr>
        <w:spacing w:line="560" w:lineRule="exact"/>
        <w:ind w:firstLine="640" w:firstLineChars="200"/>
        <w:rPr>
          <w:rFonts w:hint="eastAsia" w:ascii="仿宋_GB2312" w:hAnsi="仿宋_GB2312" w:eastAsia="仿宋_GB2312" w:cs="仿宋_GB2312"/>
          <w:spacing w:val="6"/>
          <w:sz w:val="32"/>
          <w:szCs w:val="32"/>
          <w:highlight w:val="lightGray"/>
          <w:lang w:eastAsia="zh-CN"/>
        </w:rPr>
      </w:pPr>
      <w:r>
        <w:rPr>
          <w:rFonts w:hint="eastAsia" w:ascii="仿宋_GB2312" w:hAnsi="仿宋_GB2312" w:eastAsia="仿宋_GB2312" w:cs="仿宋_GB2312"/>
          <w:bCs/>
          <w:kern w:val="0"/>
          <w:sz w:val="32"/>
          <w:szCs w:val="32"/>
        </w:rPr>
        <w:t>4.社会保障和就业支出（类）5,497.10万元，主要用于机关事业单位基本养老保险缴费、机关事业单位职业年金缴费、死亡抚恤等支出。较</w:t>
      </w:r>
      <w:r>
        <w:rPr>
          <w:rFonts w:hint="eastAsia" w:ascii="仿宋_GB2312" w:hAnsi="仿宋_GB2312" w:eastAsia="仿宋_GB2312" w:cs="仿宋_GB2312"/>
          <w:bCs/>
          <w:kern w:val="0"/>
          <w:sz w:val="32"/>
          <w:szCs w:val="32"/>
          <w:lang w:eastAsia="zh-CN"/>
        </w:rPr>
        <w:t>2022年</w:t>
      </w:r>
      <w:r>
        <w:rPr>
          <w:rFonts w:hint="eastAsia" w:ascii="仿宋_GB2312" w:hAnsi="仿宋_GB2312" w:eastAsia="仿宋_GB2312" w:cs="仿宋_GB2312"/>
          <w:bCs/>
          <w:kern w:val="0"/>
          <w:sz w:val="32"/>
          <w:szCs w:val="32"/>
        </w:rPr>
        <w:t>度决算数增加690.35万元，增长14.36%，</w:t>
      </w:r>
      <w:r>
        <w:rPr>
          <w:rFonts w:hint="eastAsia" w:ascii="仿宋_GB2312" w:hAnsi="仿宋_GB2312" w:eastAsia="仿宋_GB2312" w:cs="仿宋_GB2312"/>
          <w:color w:val="auto"/>
          <w:kern w:val="0"/>
          <w:sz w:val="32"/>
          <w:szCs w:val="32"/>
          <w:highlight w:val="none"/>
        </w:rPr>
        <w:t>主要原因：</w:t>
      </w:r>
      <w:r>
        <w:rPr>
          <w:rFonts w:hint="eastAsia" w:ascii="仿宋_GB2312" w:hAnsi="黑体" w:eastAsia="仿宋_GB2312" w:cs="仿宋_GB2312"/>
          <w:color w:val="auto"/>
          <w:kern w:val="0"/>
          <w:sz w:val="32"/>
          <w:szCs w:val="32"/>
          <w:highlight w:val="none"/>
        </w:rPr>
        <w:t>一是</w:t>
      </w:r>
      <w:r>
        <w:rPr>
          <w:rFonts w:hint="eastAsia" w:ascii="仿宋_GB2312" w:hAnsi="仿宋" w:eastAsia="仿宋_GB2312"/>
          <w:color w:val="auto"/>
          <w:sz w:val="32"/>
          <w:szCs w:val="32"/>
          <w:highlight w:val="none"/>
        </w:rPr>
        <w:t>2023年退休人员补贴标准较2022年增加，</w:t>
      </w:r>
      <w:r>
        <w:rPr>
          <w:rFonts w:hint="eastAsia" w:ascii="仿宋_GB2312" w:hAnsi="黑体" w:eastAsia="仿宋_GB2312" w:cs="仿宋_GB2312"/>
          <w:color w:val="auto"/>
          <w:kern w:val="0"/>
          <w:sz w:val="32"/>
          <w:szCs w:val="32"/>
          <w:highlight w:val="none"/>
        </w:rPr>
        <w:t>支出相应增加；二是</w:t>
      </w:r>
      <w:r>
        <w:rPr>
          <w:rFonts w:hint="eastAsia" w:ascii="仿宋_GB2312" w:hAnsi="仿宋" w:eastAsia="仿宋_GB2312"/>
          <w:color w:val="auto"/>
          <w:sz w:val="32"/>
          <w:szCs w:val="32"/>
          <w:highlight w:val="none"/>
        </w:rPr>
        <w:t>单位在编退休人数较2022年增加，有关经费相应增加，</w:t>
      </w:r>
      <w:r>
        <w:rPr>
          <w:rFonts w:hint="eastAsia" w:ascii="仿宋_GB2312" w:hAnsi="黑体" w:eastAsia="仿宋_GB2312" w:cs="仿宋_GB2312"/>
          <w:color w:val="auto"/>
          <w:kern w:val="0"/>
          <w:sz w:val="32"/>
          <w:szCs w:val="32"/>
          <w:highlight w:val="none"/>
        </w:rPr>
        <w:t>支出相应增加；三是</w:t>
      </w:r>
      <w:r>
        <w:rPr>
          <w:rFonts w:hint="eastAsia" w:ascii="仿宋_GB2312" w:hAnsi="仿宋" w:eastAsia="仿宋_GB2312"/>
          <w:color w:val="auto"/>
          <w:sz w:val="32"/>
          <w:szCs w:val="32"/>
          <w:highlight w:val="none"/>
        </w:rPr>
        <w:t>退休人员死亡，相关人员经费较2022年增加</w:t>
      </w:r>
      <w:r>
        <w:rPr>
          <w:rFonts w:hint="eastAsia" w:ascii="仿宋_GB2312" w:hAnsi="黑体" w:eastAsia="仿宋_GB2312" w:cs="仿宋_GB2312"/>
          <w:color w:val="auto"/>
          <w:kern w:val="0"/>
          <w:sz w:val="32"/>
          <w:szCs w:val="32"/>
          <w:highlight w:val="none"/>
        </w:rPr>
        <w:t>，支出相应增加</w:t>
      </w:r>
      <w:r>
        <w:rPr>
          <w:rFonts w:hint="eastAsia" w:ascii="仿宋_GB2312" w:hAnsi="黑体" w:eastAsia="仿宋_GB2312" w:cs="仿宋_GB2312"/>
          <w:color w:val="auto"/>
          <w:kern w:val="0"/>
          <w:sz w:val="32"/>
          <w:szCs w:val="32"/>
          <w:highlight w:val="none"/>
          <w:lang w:eastAsia="zh-CN"/>
        </w:rPr>
        <w:t>；四是</w:t>
      </w:r>
      <w:r>
        <w:rPr>
          <w:rFonts w:hint="eastAsia" w:ascii="仿宋_GB2312" w:hAnsi="仿宋_GB2312" w:eastAsia="仿宋_GB2312" w:cs="仿宋_GB2312"/>
          <w:color w:val="auto"/>
          <w:kern w:val="0"/>
          <w:sz w:val="32"/>
          <w:szCs w:val="32"/>
          <w:highlight w:val="none"/>
        </w:rPr>
        <w:t>广西</w:t>
      </w:r>
      <w:r>
        <w:rPr>
          <w:rFonts w:hint="eastAsia" w:ascii="仿宋_GB2312" w:hAnsi="仿宋_GB2312" w:eastAsia="仿宋_GB2312" w:cs="仿宋_GB2312"/>
          <w:color w:val="auto"/>
          <w:kern w:val="0"/>
          <w:sz w:val="32"/>
          <w:szCs w:val="32"/>
        </w:rPr>
        <w:t>新闻出版技工学校年中追加就业支出项目“2022年自治区级高技能人才培训基地补助资金”</w:t>
      </w:r>
      <w:r>
        <w:rPr>
          <w:rFonts w:hint="eastAsia" w:ascii="仿宋_GB2312" w:hAnsi="仿宋_GB2312" w:eastAsia="仿宋_GB2312" w:cs="仿宋_GB2312"/>
          <w:color w:val="auto"/>
          <w:kern w:val="0"/>
          <w:sz w:val="32"/>
          <w:szCs w:val="32"/>
          <w:lang w:val="en-US" w:eastAsia="zh-CN"/>
        </w:rPr>
        <w:t>300万元</w:t>
      </w:r>
      <w:r>
        <w:rPr>
          <w:rFonts w:hint="eastAsia" w:ascii="仿宋_GB2312" w:hAnsi="仿宋_GB2312" w:eastAsia="仿宋_GB2312" w:cs="仿宋_GB2312"/>
          <w:color w:val="auto"/>
          <w:kern w:val="0"/>
          <w:sz w:val="32"/>
          <w:szCs w:val="32"/>
        </w:rPr>
        <w:t>，支出相应增加</w:t>
      </w:r>
      <w:r>
        <w:rPr>
          <w:rFonts w:hint="eastAsia" w:ascii="仿宋_GB2312" w:hAnsi="仿宋_GB2312" w:eastAsia="仿宋_GB2312" w:cs="仿宋_GB2312"/>
          <w:color w:val="auto"/>
          <w:kern w:val="0"/>
          <w:sz w:val="32"/>
          <w:szCs w:val="32"/>
          <w:lang w:eastAsia="zh-CN"/>
        </w:rPr>
        <w:t>。</w:t>
      </w:r>
    </w:p>
    <w:p w14:paraId="02779894">
      <w:pPr>
        <w:autoSpaceDE w:val="0"/>
        <w:autoSpaceDN w:val="0"/>
        <w:adjustRightInd w:val="0"/>
        <w:spacing w:line="560" w:lineRule="exact"/>
        <w:ind w:firstLine="627" w:firstLineChars="196"/>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kern w:val="0"/>
          <w:sz w:val="32"/>
          <w:szCs w:val="32"/>
        </w:rPr>
        <w:t>5.卫生健康支出（类）1,290.81万元，主要用于职工医疗保障方面的支出，较</w:t>
      </w:r>
      <w:r>
        <w:rPr>
          <w:rFonts w:hint="eastAsia" w:ascii="仿宋_GB2312" w:hAnsi="仿宋_GB2312" w:eastAsia="仿宋_GB2312" w:cs="仿宋_GB2312"/>
          <w:bCs/>
          <w:kern w:val="0"/>
          <w:sz w:val="32"/>
          <w:szCs w:val="32"/>
          <w:lang w:eastAsia="zh-CN"/>
        </w:rPr>
        <w:t>2022年</w:t>
      </w:r>
      <w:r>
        <w:rPr>
          <w:rFonts w:hint="eastAsia" w:ascii="仿宋_GB2312" w:hAnsi="仿宋_GB2312" w:eastAsia="仿宋_GB2312" w:cs="仿宋_GB2312"/>
          <w:bCs/>
          <w:kern w:val="0"/>
          <w:sz w:val="32"/>
          <w:szCs w:val="32"/>
        </w:rPr>
        <w:t>度决算数</w:t>
      </w:r>
      <w:r>
        <w:rPr>
          <w:rFonts w:hint="eastAsia" w:ascii="仿宋_GB2312" w:hAnsi="仿宋_GB2312" w:eastAsia="仿宋_GB2312" w:cs="仿宋_GB2312"/>
          <w:bCs/>
          <w:kern w:val="0"/>
          <w:sz w:val="32"/>
          <w:szCs w:val="32"/>
          <w:lang w:eastAsia="zh-CN"/>
        </w:rPr>
        <w:t>减少</w:t>
      </w:r>
      <w:r>
        <w:rPr>
          <w:rFonts w:hint="eastAsia" w:ascii="仿宋_GB2312" w:hAnsi="仿宋_GB2312" w:eastAsia="仿宋_GB2312" w:cs="仿宋_GB2312"/>
          <w:bCs/>
          <w:kern w:val="0"/>
          <w:sz w:val="32"/>
          <w:szCs w:val="32"/>
        </w:rPr>
        <w:t>22.83万元，</w:t>
      </w:r>
      <w:r>
        <w:rPr>
          <w:rFonts w:hint="eastAsia" w:ascii="仿宋_GB2312" w:hAnsi="仿宋_GB2312" w:eastAsia="仿宋_GB2312" w:cs="仿宋_GB2312"/>
          <w:bCs/>
          <w:kern w:val="0"/>
          <w:sz w:val="32"/>
          <w:szCs w:val="32"/>
          <w:lang w:eastAsia="zh-CN"/>
        </w:rPr>
        <w:t>下降</w:t>
      </w:r>
      <w:r>
        <w:rPr>
          <w:rFonts w:hint="eastAsia" w:ascii="仿宋_GB2312" w:hAnsi="仿宋_GB2312" w:eastAsia="仿宋_GB2312" w:cs="仿宋_GB2312"/>
          <w:bCs/>
          <w:kern w:val="0"/>
          <w:sz w:val="32"/>
          <w:szCs w:val="32"/>
        </w:rPr>
        <w:t>1.74%，</w:t>
      </w:r>
      <w:r>
        <w:rPr>
          <w:rFonts w:hint="eastAsia" w:ascii="仿宋_GB2312" w:hAnsi="仿宋_GB2312" w:eastAsia="仿宋_GB2312" w:cs="仿宋_GB2312"/>
          <w:bCs/>
          <w:color w:val="auto"/>
          <w:kern w:val="0"/>
          <w:sz w:val="32"/>
          <w:szCs w:val="32"/>
          <w:highlight w:val="none"/>
        </w:rPr>
        <w:t>主要原因</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年中（1-10月）人员变动，追减相关人员经费，支出相应减少。</w:t>
      </w:r>
    </w:p>
    <w:p w14:paraId="599D7DC4">
      <w:pPr>
        <w:autoSpaceDE w:val="0"/>
        <w:autoSpaceDN w:val="0"/>
        <w:adjustRightInd w:val="0"/>
        <w:spacing w:line="560" w:lineRule="exact"/>
        <w:ind w:firstLine="627" w:firstLineChars="196"/>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kern w:val="0"/>
          <w:sz w:val="32"/>
          <w:szCs w:val="32"/>
        </w:rPr>
        <w:t>6.住房保障支出（类）1,712.41万元，主要用于按照国家政策规定向职工发放的住房公积金等住房改革方面的支出，较</w:t>
      </w:r>
      <w:r>
        <w:rPr>
          <w:rFonts w:hint="eastAsia" w:ascii="仿宋_GB2312" w:hAnsi="仿宋_GB2312" w:eastAsia="仿宋_GB2312" w:cs="仿宋_GB2312"/>
          <w:bCs/>
          <w:kern w:val="0"/>
          <w:sz w:val="32"/>
          <w:szCs w:val="32"/>
          <w:lang w:eastAsia="zh-CN"/>
        </w:rPr>
        <w:t>2022年</w:t>
      </w:r>
      <w:r>
        <w:rPr>
          <w:rFonts w:hint="eastAsia" w:ascii="仿宋_GB2312" w:hAnsi="仿宋_GB2312" w:eastAsia="仿宋_GB2312" w:cs="仿宋_GB2312"/>
          <w:bCs/>
          <w:kern w:val="0"/>
          <w:sz w:val="32"/>
          <w:szCs w:val="32"/>
        </w:rPr>
        <w:t>度决算数</w:t>
      </w:r>
      <w:r>
        <w:rPr>
          <w:rFonts w:hint="eastAsia" w:ascii="仿宋_GB2312" w:hAnsi="仿宋_GB2312" w:eastAsia="仿宋_GB2312" w:cs="仿宋_GB2312"/>
          <w:bCs/>
          <w:kern w:val="0"/>
          <w:sz w:val="32"/>
          <w:szCs w:val="32"/>
          <w:lang w:eastAsia="zh-CN"/>
        </w:rPr>
        <w:t>减少</w:t>
      </w:r>
      <w:r>
        <w:rPr>
          <w:rFonts w:hint="eastAsia" w:ascii="仿宋_GB2312" w:hAnsi="仿宋_GB2312" w:eastAsia="仿宋_GB2312" w:cs="仿宋_GB2312"/>
          <w:bCs/>
          <w:kern w:val="0"/>
          <w:sz w:val="32"/>
          <w:szCs w:val="32"/>
        </w:rPr>
        <w:t>70.18万元，</w:t>
      </w:r>
      <w:r>
        <w:rPr>
          <w:rFonts w:hint="eastAsia" w:ascii="仿宋_GB2312" w:hAnsi="仿宋_GB2312" w:eastAsia="仿宋_GB2312" w:cs="仿宋_GB2312"/>
          <w:bCs/>
          <w:kern w:val="0"/>
          <w:sz w:val="32"/>
          <w:szCs w:val="32"/>
          <w:lang w:eastAsia="zh-CN"/>
        </w:rPr>
        <w:t>下降</w:t>
      </w:r>
      <w:r>
        <w:rPr>
          <w:rFonts w:hint="eastAsia" w:ascii="仿宋_GB2312" w:hAnsi="仿宋_GB2312" w:eastAsia="仿宋_GB2312" w:cs="仿宋_GB2312"/>
          <w:bCs/>
          <w:kern w:val="0"/>
          <w:sz w:val="32"/>
          <w:szCs w:val="32"/>
        </w:rPr>
        <w:t>3.94%，</w:t>
      </w:r>
      <w:r>
        <w:rPr>
          <w:rFonts w:hint="eastAsia" w:ascii="仿宋_GB2312" w:hAnsi="仿宋_GB2312" w:eastAsia="仿宋_GB2312" w:cs="仿宋_GB2312"/>
          <w:bCs/>
          <w:color w:val="auto"/>
          <w:kern w:val="0"/>
          <w:sz w:val="32"/>
          <w:szCs w:val="32"/>
          <w:highlight w:val="none"/>
        </w:rPr>
        <w:t>主要原因</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年中（1-10月）人员变动，追减相关人员经费，支出相应减少。</w:t>
      </w:r>
    </w:p>
    <w:p w14:paraId="60A2F484">
      <w:pPr>
        <w:autoSpaceDE w:val="0"/>
        <w:autoSpaceDN w:val="0"/>
        <w:adjustRightInd w:val="0"/>
        <w:spacing w:line="560" w:lineRule="exact"/>
        <w:ind w:firstLine="627" w:firstLineChars="196"/>
        <w:rPr>
          <w:rFonts w:hint="eastAsia" w:ascii="仿宋_GB2312" w:eastAsia="仿宋_GB2312" w:cs="仿宋_GB2312"/>
          <w:color w:val="auto"/>
          <w:kern w:val="0"/>
          <w:sz w:val="32"/>
          <w:szCs w:val="32"/>
        </w:rPr>
      </w:pPr>
      <w:r>
        <w:rPr>
          <w:rFonts w:hint="eastAsia" w:ascii="仿宋_GB2312" w:hAnsi="仿宋_GB2312" w:eastAsia="仿宋_GB2312" w:cs="仿宋_GB2312"/>
          <w:bCs/>
          <w:kern w:val="0"/>
          <w:sz w:val="32"/>
          <w:szCs w:val="32"/>
        </w:rPr>
        <w:t>7</w:t>
      </w:r>
      <w:r>
        <w:rPr>
          <w:rFonts w:hint="eastAsia" w:ascii="仿宋_GB2312" w:hAnsi="仿宋_GB2312" w:eastAsia="仿宋_GB2312" w:cs="仿宋_GB2312"/>
          <w:kern w:val="0"/>
          <w:sz w:val="32"/>
          <w:szCs w:val="32"/>
        </w:rPr>
        <w:t>.结余分配31.27万元，为事业单位按规定提取的专用结余、缴纳所得税和转入非财政拨款结余等。较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度决算数减少66.09万元，下降67.88%，</w:t>
      </w:r>
      <w:r>
        <w:rPr>
          <w:rFonts w:hint="eastAsia" w:ascii="仿宋_GB2312" w:hAnsi="仿宋_GB2312" w:eastAsia="仿宋_GB2312" w:cs="仿宋_GB2312"/>
          <w:color w:val="auto"/>
          <w:kern w:val="0"/>
          <w:sz w:val="32"/>
          <w:szCs w:val="32"/>
        </w:rPr>
        <w:t>主要原因</w:t>
      </w:r>
      <w:r>
        <w:rPr>
          <w:rFonts w:hint="eastAsia" w:ascii="仿宋_GB2312" w:hAns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本年度其他收入小于本年度其他支出所产生。</w:t>
      </w:r>
    </w:p>
    <w:p w14:paraId="423D8981">
      <w:pPr>
        <w:autoSpaceDE w:val="0"/>
        <w:autoSpaceDN w:val="0"/>
        <w:adjustRightInd w:val="0"/>
        <w:spacing w:line="560" w:lineRule="exact"/>
        <w:ind w:firstLine="627" w:firstLineChars="196"/>
        <w:rPr>
          <w:rFonts w:ascii="仿宋_GB2312" w:hAnsi="仿宋_GB2312" w:eastAsia="仿宋_GB2312" w:cs="仿宋_GB2312"/>
          <w:color w:val="FF0000"/>
          <w:kern w:val="0"/>
          <w:sz w:val="32"/>
          <w:szCs w:val="32"/>
        </w:rPr>
      </w:pPr>
      <w:r>
        <w:rPr>
          <w:rFonts w:hint="eastAsia" w:ascii="仿宋_GB2312" w:hAnsi="仿宋_GB2312" w:eastAsia="仿宋_GB2312" w:cs="仿宋_GB2312"/>
          <w:bCs/>
          <w:kern w:val="0"/>
          <w:sz w:val="32"/>
          <w:szCs w:val="32"/>
        </w:rPr>
        <w:t>8</w:t>
      </w:r>
      <w:r>
        <w:rPr>
          <w:rFonts w:hint="eastAsia" w:ascii="仿宋_GB2312" w:hAnsi="仿宋_GB2312" w:eastAsia="仿宋_GB2312" w:cs="仿宋_GB2312"/>
          <w:kern w:val="0"/>
          <w:sz w:val="32"/>
          <w:szCs w:val="32"/>
        </w:rPr>
        <w:t>.年末结转和结余2,267.26万元，为本年度或以前年度预算安排、因客观条件发生变化无法按原计划实施，需要延迟到以后年度按有关规定继续使用的资金。较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度决算数增加441.69万元，增长24</w:t>
      </w:r>
      <w:r>
        <w:rPr>
          <w:rFonts w:hint="eastAsia" w:ascii="仿宋_GB2312" w:hAnsi="仿宋_GB2312" w:eastAsia="仿宋_GB2312" w:cs="仿宋_GB2312"/>
          <w:color w:val="auto"/>
          <w:kern w:val="0"/>
          <w:sz w:val="32"/>
          <w:szCs w:val="32"/>
        </w:rPr>
        <w:t>.19%，主要原因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广西新闻出版技工学校</w:t>
      </w:r>
      <w:r>
        <w:rPr>
          <w:rFonts w:hint="eastAsia" w:ascii="仿宋_GB2312" w:hAnsi="仿宋" w:eastAsia="仿宋_GB2312"/>
          <w:color w:val="auto"/>
          <w:sz w:val="32"/>
          <w:szCs w:val="32"/>
          <w:lang w:val="en-US" w:eastAsia="zh-CN"/>
        </w:rPr>
        <w:t>新校区建设项目涉及审批调整，建设资金当</w:t>
      </w:r>
      <w:r>
        <w:rPr>
          <w:rFonts w:hint="eastAsia" w:ascii="仿宋_GB2312" w:hAnsi="仿宋" w:eastAsia="仿宋_GB2312"/>
          <w:sz w:val="32"/>
          <w:szCs w:val="32"/>
          <w:lang w:val="en-US" w:eastAsia="zh-CN"/>
        </w:rPr>
        <w:t>年无法支付，</w:t>
      </w:r>
      <w:r>
        <w:rPr>
          <w:rFonts w:hint="eastAsia" w:ascii="仿宋_GB2312" w:hAnsi="Times New Roman" w:eastAsia="仿宋_GB2312" w:cs="Times New Roman"/>
          <w:kern w:val="2"/>
          <w:sz w:val="32"/>
          <w:szCs w:val="32"/>
          <w:lang w:val="en-US" w:bidi="ar-SA"/>
        </w:rPr>
        <w:t>按规定项目资金列支结转，造成项目资金结存形成的年末结转。</w:t>
      </w:r>
    </w:p>
    <w:p w14:paraId="5DA303A1">
      <w:pPr>
        <w:autoSpaceDE w:val="0"/>
        <w:autoSpaceDN w:val="0"/>
        <w:adjustRightInd w:val="0"/>
        <w:spacing w:line="56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2023年</w:t>
      </w:r>
      <w:r>
        <w:rPr>
          <w:rFonts w:hint="eastAsia" w:ascii="黑体" w:hAnsi="黑体" w:eastAsia="黑体" w:cs="仿宋_GB2312"/>
          <w:kern w:val="0"/>
          <w:sz w:val="32"/>
          <w:szCs w:val="32"/>
        </w:rPr>
        <w:t>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524C0DD5">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rPr>
        <w:t>自治区广电局</w:t>
      </w: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sz w:val="32"/>
          <w:szCs w:val="32"/>
        </w:rPr>
        <w:t>一般</w:t>
      </w:r>
      <w:r>
        <w:rPr>
          <w:rFonts w:hint="eastAsia" w:ascii="仿宋_GB2312" w:hAnsi="仿宋_GB2312" w:eastAsia="仿宋_GB2312" w:cs="仿宋_GB2312"/>
          <w:kern w:val="0"/>
          <w:sz w:val="32"/>
          <w:szCs w:val="32"/>
        </w:rPr>
        <w:t>公共预算财政拨款支出     56,420.78万元，较</w:t>
      </w:r>
      <w:r>
        <w:rPr>
          <w:rFonts w:hint="eastAsia" w:ascii="仿宋_GB2312" w:hAnsi="仿宋_GB2312" w:eastAsia="仿宋_GB2312" w:cs="仿宋_GB2312"/>
          <w:kern w:val="0"/>
          <w:sz w:val="32"/>
          <w:szCs w:val="32"/>
          <w:lang w:val="en" w:eastAsia="zh-CN"/>
        </w:rPr>
        <w:t>2022年</w:t>
      </w:r>
      <w:r>
        <w:rPr>
          <w:rFonts w:hint="eastAsia" w:ascii="仿宋_GB2312" w:hAnsi="仿宋_GB2312" w:eastAsia="仿宋_GB2312" w:cs="仿宋_GB2312"/>
          <w:kern w:val="0"/>
          <w:sz w:val="32"/>
          <w:szCs w:val="32"/>
        </w:rPr>
        <w:t>度决算数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153.25万元，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spacing w:val="-6"/>
          <w:kern w:val="0"/>
          <w:sz w:val="32"/>
          <w:szCs w:val="32"/>
        </w:rPr>
        <w:t>7.95%。其中：基本支出28,518.10万元，项目支出27,902.68万元</w:t>
      </w:r>
      <w:r>
        <w:rPr>
          <w:rFonts w:hint="eastAsia" w:ascii="仿宋_GB2312" w:hAnsi="仿宋_GB2312" w:eastAsia="仿宋_GB2312" w:cs="仿宋_GB2312"/>
          <w:kern w:val="0"/>
          <w:sz w:val="32"/>
          <w:szCs w:val="32"/>
        </w:rPr>
        <w:t>。</w:t>
      </w:r>
    </w:p>
    <w:p w14:paraId="6F3E5277">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Cs/>
          <w:sz w:val="32"/>
          <w:szCs w:val="32"/>
        </w:rPr>
        <w:t>自治区广电局</w:t>
      </w: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sz w:val="32"/>
          <w:szCs w:val="32"/>
        </w:rPr>
        <w:t>一般</w:t>
      </w:r>
      <w:r>
        <w:rPr>
          <w:rFonts w:hint="eastAsia" w:ascii="仿宋_GB2312" w:hAnsi="仿宋_GB2312" w:eastAsia="仿宋_GB2312" w:cs="仿宋_GB2312"/>
          <w:kern w:val="0"/>
          <w:sz w:val="32"/>
          <w:szCs w:val="32"/>
        </w:rPr>
        <w:t>公共预算财政拨款支出年初预</w:t>
      </w:r>
      <w:r>
        <w:rPr>
          <w:rFonts w:hint="eastAsia" w:ascii="仿宋_GB2312" w:hAnsi="仿宋_GB2312" w:eastAsia="仿宋_GB2312" w:cs="仿宋_GB2312"/>
          <w:color w:val="auto"/>
          <w:kern w:val="0"/>
          <w:sz w:val="32"/>
          <w:szCs w:val="32"/>
        </w:rPr>
        <w:t>算为5</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278</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66</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kern w:val="0"/>
          <w:sz w:val="32"/>
          <w:szCs w:val="32"/>
        </w:rPr>
        <w:t>元，支出决算为56,420.78万元，完成年初预算</w:t>
      </w:r>
      <w:r>
        <w:rPr>
          <w:rFonts w:hint="eastAsia" w:ascii="仿宋_GB2312" w:hAnsi="仿宋_GB2312" w:eastAsia="仿宋_GB2312" w:cs="仿宋_GB2312"/>
          <w:color w:val="auto"/>
          <w:kern w:val="0"/>
          <w:sz w:val="32"/>
          <w:szCs w:val="32"/>
        </w:rPr>
        <w:t>的103.95%。</w:t>
      </w:r>
    </w:p>
    <w:p w14:paraId="32236BE0">
      <w:pPr>
        <w:autoSpaceDE w:val="0"/>
        <w:autoSpaceDN w:val="0"/>
        <w:adjustRightIn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（一）</w:t>
      </w:r>
      <w:r>
        <w:rPr>
          <w:rFonts w:hint="eastAsia" w:ascii="仿宋_GB2312" w:hAnsi="仿宋_GB2312" w:eastAsia="仿宋_GB2312" w:cs="仿宋_GB2312"/>
          <w:kern w:val="0"/>
          <w:sz w:val="32"/>
          <w:szCs w:val="32"/>
        </w:rPr>
        <w:t>一般公共服务支出（类）年初预算为0万元，支出决算为0万元，完成年初预算的0%。主要原因是本年没有一般公共服务支出。</w:t>
      </w:r>
    </w:p>
    <w:p w14:paraId="43CE5F27">
      <w:pPr>
        <w:autoSpaceDE w:val="0"/>
        <w:autoSpaceDN w:val="0"/>
        <w:adjustRightInd w:val="0"/>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sz w:val="32"/>
          <w:szCs w:val="32"/>
        </w:rPr>
        <w:t>（二）教育支出（类）年初预</w:t>
      </w:r>
      <w:r>
        <w:rPr>
          <w:rFonts w:hint="eastAsia" w:ascii="仿宋_GB2312" w:hAnsi="仿宋_GB2312" w:eastAsia="仿宋_GB2312" w:cs="仿宋_GB2312"/>
          <w:bCs/>
          <w:color w:val="auto"/>
          <w:sz w:val="32"/>
          <w:szCs w:val="32"/>
        </w:rPr>
        <w:t>算为8,832.35万</w:t>
      </w:r>
      <w:r>
        <w:rPr>
          <w:rFonts w:hint="eastAsia" w:ascii="仿宋_GB2312" w:hAnsi="仿宋_GB2312" w:eastAsia="仿宋_GB2312" w:cs="仿宋_GB2312"/>
          <w:bCs/>
          <w:sz w:val="32"/>
          <w:szCs w:val="32"/>
        </w:rPr>
        <w:t>元，支出决算为7,710.08万元，完成年初预</w:t>
      </w:r>
      <w:r>
        <w:rPr>
          <w:rFonts w:hint="eastAsia" w:ascii="仿宋_GB2312" w:hAnsi="仿宋_GB2312" w:eastAsia="仿宋_GB2312" w:cs="仿宋_GB2312"/>
          <w:bCs/>
          <w:color w:val="auto"/>
          <w:sz w:val="32"/>
          <w:szCs w:val="32"/>
        </w:rPr>
        <w:t>算的87.29%</w:t>
      </w:r>
      <w:r>
        <w:rPr>
          <w:rFonts w:hint="eastAsia" w:ascii="仿宋_GB2312" w:hAnsi="仿宋_GB2312" w:eastAsia="仿宋_GB2312" w:cs="仿宋_GB2312"/>
          <w:bCs/>
          <w:sz w:val="32"/>
          <w:szCs w:val="32"/>
        </w:rPr>
        <w:t>。</w:t>
      </w:r>
      <w:r>
        <w:rPr>
          <w:rFonts w:hint="eastAsia" w:ascii="仿宋_GB2312" w:hAnsi="仿宋_GB2312" w:eastAsia="仿宋_GB2312" w:cs="仿宋_GB2312"/>
          <w:bCs/>
          <w:color w:val="auto"/>
          <w:sz w:val="32"/>
          <w:szCs w:val="32"/>
        </w:rPr>
        <w:t>预决算差异的原因：主要</w:t>
      </w:r>
      <w:r>
        <w:rPr>
          <w:rFonts w:hint="eastAsia" w:ascii="仿宋_GB2312" w:hAnsi="仿宋_GB2312" w:eastAsia="仿宋_GB2312" w:cs="仿宋_GB2312"/>
          <w:bCs/>
          <w:color w:val="auto"/>
          <w:sz w:val="32"/>
          <w:szCs w:val="32"/>
          <w:lang w:eastAsia="zh-CN"/>
        </w:rPr>
        <w:t>是</w:t>
      </w:r>
      <w:r>
        <w:rPr>
          <w:rFonts w:hint="eastAsia" w:ascii="仿宋_GB2312" w:hAnsi="仿宋_GB2312" w:eastAsia="仿宋_GB2312" w:cs="仿宋_GB2312"/>
          <w:color w:val="auto"/>
          <w:kern w:val="0"/>
          <w:sz w:val="32"/>
          <w:szCs w:val="32"/>
        </w:rPr>
        <w:t>广西新闻出版技工学校</w:t>
      </w:r>
      <w:r>
        <w:rPr>
          <w:rFonts w:hint="eastAsia" w:ascii="仿宋_GB2312" w:hAnsi="仿宋" w:eastAsia="仿宋_GB2312"/>
          <w:color w:val="auto"/>
          <w:sz w:val="32"/>
          <w:szCs w:val="32"/>
          <w:lang w:val="en-US" w:eastAsia="zh-CN"/>
        </w:rPr>
        <w:t>新校区建设项</w:t>
      </w:r>
      <w:r>
        <w:rPr>
          <w:rFonts w:hint="eastAsia" w:ascii="仿宋_GB2312" w:hAnsi="仿宋" w:eastAsia="仿宋_GB2312"/>
          <w:sz w:val="32"/>
          <w:szCs w:val="32"/>
          <w:lang w:val="en-US" w:eastAsia="zh-CN"/>
        </w:rPr>
        <w:t>目涉及审批调整，建设资金当年无法支付,</w:t>
      </w:r>
      <w:r>
        <w:rPr>
          <w:rFonts w:hint="eastAsia" w:ascii="仿宋_GB2312" w:hAnsi="Times New Roman" w:eastAsia="仿宋_GB2312" w:cs="Times New Roman"/>
          <w:kern w:val="2"/>
          <w:sz w:val="32"/>
          <w:szCs w:val="32"/>
          <w:lang w:val="en-US" w:bidi="ar-SA"/>
        </w:rPr>
        <w:t>项目资金结存形成</w:t>
      </w:r>
      <w:r>
        <w:rPr>
          <w:rFonts w:hint="eastAsia" w:ascii="仿宋_GB2312" w:hAnsi="Times New Roman" w:eastAsia="仿宋_GB2312" w:cs="Times New Roman"/>
          <w:kern w:val="2"/>
          <w:sz w:val="32"/>
          <w:szCs w:val="32"/>
          <w:lang w:val="en-US" w:eastAsia="zh-CN" w:bidi="ar-SA"/>
        </w:rPr>
        <w:t>了</w:t>
      </w:r>
      <w:r>
        <w:rPr>
          <w:rFonts w:hint="eastAsia" w:ascii="仿宋_GB2312" w:hAnsi="Times New Roman" w:eastAsia="仿宋_GB2312" w:cs="Times New Roman"/>
          <w:kern w:val="2"/>
          <w:sz w:val="32"/>
          <w:szCs w:val="32"/>
          <w:lang w:val="en-US" w:bidi="ar-SA"/>
        </w:rPr>
        <w:t>年末结转</w:t>
      </w:r>
      <w:r>
        <w:rPr>
          <w:rFonts w:hint="eastAsia" w:ascii="仿宋_GB2312" w:hAnsi="Times New Roman" w:eastAsia="仿宋_GB2312" w:cs="Times New Roman"/>
          <w:kern w:val="2"/>
          <w:lang w:val="en-US" w:bidi="ar-SA"/>
        </w:rPr>
        <w:t>。</w:t>
      </w:r>
      <w:r>
        <w:rPr>
          <w:rFonts w:hint="eastAsia" w:ascii="仿宋_GB2312" w:hAnsi="仿宋_GB2312" w:eastAsia="仿宋_GB2312" w:cs="仿宋_GB2312"/>
          <w:bCs/>
          <w:color w:val="auto"/>
          <w:sz w:val="32"/>
          <w:szCs w:val="32"/>
        </w:rPr>
        <w:t>主要用于：</w:t>
      </w:r>
    </w:p>
    <w:p w14:paraId="677D3D64">
      <w:pPr>
        <w:autoSpaceDE w:val="0"/>
        <w:autoSpaceDN w:val="0"/>
        <w:adjustRightInd w:val="0"/>
        <w:spacing w:line="560" w:lineRule="exact"/>
        <w:ind w:firstLine="603" w:firstLineChars="196"/>
        <w:rPr>
          <w:rFonts w:ascii="仿宋_GB2312" w:hAnsi="仿宋_GB2312" w:eastAsia="仿宋_GB2312" w:cs="仿宋_GB2312"/>
          <w:kern w:val="0"/>
          <w:sz w:val="32"/>
          <w:szCs w:val="32"/>
        </w:rPr>
      </w:pPr>
      <w:r>
        <w:rPr>
          <w:rFonts w:hint="eastAsia" w:ascii="仿宋_GB2312" w:hAnsi="仿宋_GB2312" w:eastAsia="仿宋_GB2312" w:cs="仿宋_GB2312"/>
          <w:color w:val="auto"/>
          <w:spacing w:val="-6"/>
          <w:kern w:val="0"/>
          <w:sz w:val="32"/>
          <w:szCs w:val="32"/>
        </w:rPr>
        <w:t>1.中专教育支出4,328.18万元，反映广西广播电视学校支出</w:t>
      </w:r>
      <w:r>
        <w:rPr>
          <w:rFonts w:hint="eastAsia" w:ascii="仿宋_GB2312" w:hAnsi="仿宋_GB2312" w:eastAsia="仿宋_GB2312" w:cs="仿宋_GB2312"/>
          <w:kern w:val="0"/>
          <w:sz w:val="32"/>
          <w:szCs w:val="32"/>
        </w:rPr>
        <w:t>；</w:t>
      </w:r>
    </w:p>
    <w:p w14:paraId="2759A619">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2.技校教育支出3,381.90万元，反映广西新闻出版技工学校支出。</w:t>
      </w:r>
    </w:p>
    <w:p w14:paraId="49149442">
      <w:pPr>
        <w:autoSpaceDE w:val="0"/>
        <w:autoSpaceDN w:val="0"/>
        <w:adjustRightInd w:val="0"/>
        <w:spacing w:line="560" w:lineRule="exact"/>
        <w:ind w:firstLine="627" w:firstLineChars="196"/>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rPr>
        <w:t>（三）文化旅游体育与传媒支出（类）年初预算为37,867.96 万元，支出决算为40,246.20万元，完成年初预算的106.28%</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highlight w:val="none"/>
        </w:rPr>
        <w:t>预决算差异原因</w:t>
      </w:r>
      <w:r>
        <w:rPr>
          <w:rFonts w:hint="eastAsia" w:ascii="仿宋_GB2312" w:hAnsi="仿宋_GB2312" w:eastAsia="仿宋_GB2312" w:cs="仿宋_GB2312"/>
          <w:color w:val="auto"/>
          <w:spacing w:val="6"/>
          <w:sz w:val="32"/>
          <w:szCs w:val="32"/>
          <w:highlight w:val="none"/>
        </w:rPr>
        <w:t>是年中追加项目资金，如</w:t>
      </w:r>
      <w:r>
        <w:rPr>
          <w:rFonts w:hint="eastAsia" w:ascii="仿宋_GB2312" w:hAnsi="仿宋_GB2312" w:eastAsia="仿宋_GB2312" w:cs="仿宋_GB2312"/>
          <w:color w:val="auto"/>
          <w:spacing w:val="6"/>
          <w:sz w:val="32"/>
          <w:szCs w:val="32"/>
          <w:highlight w:val="none"/>
          <w:lang w:eastAsia="zh-CN"/>
        </w:rPr>
        <w:t>2023年</w:t>
      </w:r>
      <w:r>
        <w:rPr>
          <w:rFonts w:hint="eastAsia" w:ascii="仿宋_GB2312" w:hAnsi="仿宋_GB2312" w:eastAsia="仿宋_GB2312" w:cs="仿宋_GB2312"/>
          <w:color w:val="auto"/>
          <w:spacing w:val="6"/>
          <w:sz w:val="32"/>
          <w:szCs w:val="32"/>
          <w:highlight w:val="none"/>
        </w:rPr>
        <w:t>广西本地节目地面数字电视覆盖网建设项目资金</w:t>
      </w:r>
      <w:r>
        <w:rPr>
          <w:rFonts w:hint="eastAsia" w:ascii="仿宋_GB2312" w:hAnsi="仿宋_GB2312" w:eastAsia="仿宋_GB2312" w:cs="仿宋_GB2312"/>
          <w:color w:val="auto"/>
          <w:spacing w:val="6"/>
          <w:sz w:val="32"/>
          <w:szCs w:val="32"/>
          <w:highlight w:val="none"/>
          <w:lang w:eastAsia="zh-CN"/>
        </w:rPr>
        <w:t>、广西广播电视来宾运维监控中心建设项目</w:t>
      </w:r>
      <w:r>
        <w:rPr>
          <w:rFonts w:hint="eastAsia" w:ascii="仿宋_GB2312" w:hAnsi="仿宋_GB2312" w:eastAsia="仿宋_GB2312" w:cs="仿宋_GB2312"/>
          <w:color w:val="auto"/>
          <w:spacing w:val="6"/>
          <w:sz w:val="32"/>
          <w:szCs w:val="32"/>
          <w:highlight w:val="none"/>
        </w:rPr>
        <w:t>等，预算收入增加，支出相应增加。</w:t>
      </w:r>
      <w:r>
        <w:rPr>
          <w:rFonts w:hint="eastAsia" w:ascii="仿宋_GB2312" w:hAnsi="仿宋_GB2312" w:eastAsia="仿宋_GB2312" w:cs="仿宋_GB2312"/>
          <w:color w:val="auto"/>
          <w:kern w:val="0"/>
          <w:sz w:val="32"/>
          <w:szCs w:val="32"/>
          <w:highlight w:val="none"/>
        </w:rPr>
        <w:t>主要用于：</w:t>
      </w:r>
    </w:p>
    <w:p w14:paraId="1343D0C0">
      <w:pPr>
        <w:autoSpaceDE w:val="0"/>
        <w:autoSpaceDN w:val="0"/>
        <w:adjustRightIn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1.行政运行支出1,333.58万元，反映自治区广电局机关的基本支出；</w:t>
      </w:r>
    </w:p>
    <w:p w14:paraId="75A19675">
      <w:pPr>
        <w:autoSpaceDE w:val="0"/>
        <w:autoSpaceDN w:val="0"/>
        <w:adjustRightIn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2.一般行政管理事务支出6,319.95万元，反映自治区广电局机关为单独设置项级科目的其他项目支出；</w:t>
      </w:r>
    </w:p>
    <w:p w14:paraId="4C8CA52D">
      <w:pPr>
        <w:autoSpaceDE w:val="0"/>
        <w:autoSpaceDN w:val="0"/>
        <w:adjustRightIn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pacing w:val="-6"/>
          <w:kern w:val="0"/>
          <w:sz w:val="32"/>
          <w:szCs w:val="32"/>
        </w:rPr>
        <w:t>机关服务支出791.82万元，反映机关后勤服务中心的支出</w:t>
      </w:r>
      <w:r>
        <w:rPr>
          <w:rFonts w:hint="eastAsia" w:ascii="仿宋_GB2312" w:hAnsi="仿宋_GB2312" w:eastAsia="仿宋_GB2312" w:cs="仿宋_GB2312"/>
          <w:kern w:val="0"/>
          <w:sz w:val="32"/>
          <w:szCs w:val="32"/>
        </w:rPr>
        <w:t>；</w:t>
      </w:r>
    </w:p>
    <w:p w14:paraId="57C6CD91">
      <w:pPr>
        <w:autoSpaceDE w:val="0"/>
        <w:autoSpaceDN w:val="0"/>
        <w:adjustRightIn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4.传输发射支出29,411.33万元，反映广播电视发射、转播台站的支出；</w:t>
      </w:r>
    </w:p>
    <w:p w14:paraId="7B0AF351">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5.其他广播电视支出2,389.52万元，反映其他用于广播电视方面的支出。</w:t>
      </w:r>
    </w:p>
    <w:p w14:paraId="00BB288C">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（四）社会保障和就业支出（类）年初预算</w:t>
      </w:r>
      <w:r>
        <w:rPr>
          <w:rFonts w:hint="eastAsia" w:ascii="仿宋_GB2312" w:hAnsi="仿宋_GB2312" w:eastAsia="仿宋_GB2312" w:cs="仿宋_GB2312"/>
          <w:color w:val="auto"/>
          <w:kern w:val="0"/>
          <w:sz w:val="32"/>
          <w:szCs w:val="32"/>
        </w:rPr>
        <w:t>为4,500.50 万</w:t>
      </w:r>
      <w:r>
        <w:rPr>
          <w:rFonts w:hint="eastAsia" w:ascii="仿宋_GB2312" w:hAnsi="仿宋_GB2312" w:eastAsia="仿宋_GB2312" w:cs="仿宋_GB2312"/>
          <w:kern w:val="0"/>
          <w:sz w:val="32"/>
          <w:szCs w:val="32"/>
        </w:rPr>
        <w:t>元，支出决算为5,461.29万元，完成年初预</w:t>
      </w:r>
      <w:r>
        <w:rPr>
          <w:rFonts w:hint="eastAsia" w:ascii="仿宋_GB2312" w:hAnsi="仿宋_GB2312" w:eastAsia="仿宋_GB2312" w:cs="仿宋_GB2312"/>
          <w:color w:val="auto"/>
          <w:kern w:val="0"/>
          <w:sz w:val="32"/>
          <w:szCs w:val="32"/>
        </w:rPr>
        <w:t>算的121.35%</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rPr>
        <w:t>预决算差</w:t>
      </w:r>
      <w:r>
        <w:rPr>
          <w:rFonts w:hint="eastAsia" w:ascii="仿宋_GB2312" w:hAnsi="仿宋_GB2312" w:eastAsia="仿宋_GB2312" w:cs="仿宋_GB2312"/>
          <w:color w:val="auto"/>
          <w:spacing w:val="-6"/>
          <w:kern w:val="0"/>
          <w:sz w:val="32"/>
          <w:szCs w:val="32"/>
        </w:rPr>
        <w:t>异原因是年中追加人员经费，收入增加，支出相应增加。</w:t>
      </w:r>
      <w:r>
        <w:rPr>
          <w:rFonts w:hint="eastAsia" w:ascii="仿宋_GB2312" w:hAnsi="仿宋_GB2312" w:eastAsia="仿宋_GB2312" w:cs="仿宋_GB2312"/>
          <w:spacing w:val="-6"/>
          <w:kern w:val="0"/>
          <w:sz w:val="32"/>
          <w:szCs w:val="32"/>
        </w:rPr>
        <w:t>主要用于</w:t>
      </w:r>
      <w:r>
        <w:rPr>
          <w:rFonts w:hint="eastAsia" w:ascii="仿宋_GB2312" w:hAnsi="仿宋_GB2312" w:eastAsia="仿宋_GB2312" w:cs="仿宋_GB2312"/>
          <w:kern w:val="0"/>
          <w:sz w:val="32"/>
          <w:szCs w:val="32"/>
        </w:rPr>
        <w:t>：</w:t>
      </w:r>
    </w:p>
    <w:p w14:paraId="111B33C9">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1.行政单位离退休支出324.92万元，反映行政单位离退休人员公用支出。</w:t>
      </w:r>
    </w:p>
    <w:p w14:paraId="773F7E06">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2.事业单位离退休支出981.95万元，反映事业单位离退休人员公用支出。</w:t>
      </w:r>
    </w:p>
    <w:p w14:paraId="2F347034">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3.机关事业单位基本养老保险缴费支出2,273.54万元，反映机关事业单位按规定为职工缴纳的基本养老保险缴费经费。</w:t>
      </w:r>
    </w:p>
    <w:p w14:paraId="6309BFB0">
      <w:pPr>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.机关事业单位职业年金缴费支出1,098.35万元，反映机关事业单位按规定为职工缴纳的职业年金缴费经费。</w:t>
      </w:r>
    </w:p>
    <w:p w14:paraId="183A467A">
      <w:pPr>
        <w:autoSpaceDE w:val="0"/>
        <w:autoSpaceDN w:val="0"/>
        <w:adjustRightInd w:val="0"/>
        <w:spacing w:line="560" w:lineRule="exact"/>
        <w:ind w:firstLine="640" w:firstLineChars="200"/>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5.高技能人才培养补助278.17万元，反映事业单位高技能人才培训基地建设支出。</w:t>
      </w:r>
    </w:p>
    <w:p w14:paraId="07D21703">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.死亡抚恤支出504.34万元，反映用于病故职工的抚恤金。</w:t>
      </w:r>
    </w:p>
    <w:p w14:paraId="1615F3F9">
      <w:pPr>
        <w:autoSpaceDE w:val="0"/>
        <w:autoSpaceDN w:val="0"/>
        <w:adjustRightInd w:val="0"/>
        <w:spacing w:line="560" w:lineRule="exact"/>
        <w:ind w:firstLine="640" w:firstLineChars="200"/>
        <w:rPr>
          <w:rFonts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（五）卫生健康支出（类）年初预算为1,308.50 万元，支出决算为1,290.81元，完成年初预算的98.65%。</w:t>
      </w:r>
      <w:r>
        <w:rPr>
          <w:rFonts w:hint="eastAsia" w:ascii="仿宋_GB2312" w:hAnsi="仿宋_GB2312" w:eastAsia="仿宋_GB2312" w:cs="仿宋_GB2312"/>
          <w:color w:val="auto"/>
          <w:kern w:val="0"/>
          <w:sz w:val="32"/>
          <w:szCs w:val="32"/>
        </w:rPr>
        <w:t>预决算差异原因：年中在职人员退休，基本医疗保险缴费减少。主</w:t>
      </w:r>
      <w:r>
        <w:rPr>
          <w:rFonts w:hint="eastAsia" w:ascii="仿宋_GB2312" w:hAnsi="仿宋_GB2312" w:eastAsia="仿宋_GB2312" w:cs="仿宋_GB2312"/>
          <w:kern w:val="0"/>
          <w:sz w:val="32"/>
          <w:szCs w:val="32"/>
        </w:rPr>
        <w:t>要用于：</w:t>
      </w:r>
    </w:p>
    <w:p w14:paraId="093BB323">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1.行政单位医疗支出68.85万元，反映行政单位按规定为职工缴纳的基本医疗保险缴费经费。</w:t>
      </w:r>
    </w:p>
    <w:p w14:paraId="5E9D3716">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2.事业单位医疗支出1,046.15万元，反映事业单位按规定为职工缴纳的基本医疗缴费经费。</w:t>
      </w:r>
    </w:p>
    <w:p w14:paraId="52EEC1BD">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3.公务员医疗补助支出175.81万元，反映事业单位按规定为职工缴纳的医疗补助缴费经费。</w:t>
      </w:r>
    </w:p>
    <w:p w14:paraId="1D519404">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（六）住房保障支出（类）年初预算为1,769.35 万元，支出决算为1,712.41万元，完成年初预算的96.78%。</w:t>
      </w:r>
      <w:r>
        <w:rPr>
          <w:rFonts w:hint="eastAsia" w:ascii="仿宋_GB2312" w:hAnsi="仿宋_GB2312" w:eastAsia="仿宋_GB2312" w:cs="仿宋_GB2312"/>
          <w:color w:val="auto"/>
          <w:kern w:val="0"/>
          <w:sz w:val="32"/>
          <w:szCs w:val="32"/>
        </w:rPr>
        <w:t>预决算差异原因是年中在职人员退休，住房类保险缴费减少。主要</w:t>
      </w:r>
      <w:r>
        <w:rPr>
          <w:rFonts w:hint="eastAsia" w:ascii="仿宋_GB2312" w:hAnsi="仿宋_GB2312" w:eastAsia="仿宋_GB2312" w:cs="仿宋_GB2312"/>
          <w:kern w:val="0"/>
          <w:sz w:val="32"/>
          <w:szCs w:val="32"/>
        </w:rPr>
        <w:t>用于按规定比例为职工缴纳的住房公积金。</w:t>
      </w:r>
    </w:p>
    <w:p w14:paraId="649D8D83">
      <w:pPr>
        <w:autoSpaceDE w:val="0"/>
        <w:autoSpaceDN w:val="0"/>
        <w:adjustRightInd w:val="0"/>
        <w:spacing w:line="56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2023年</w:t>
      </w:r>
      <w:r>
        <w:rPr>
          <w:rFonts w:hint="eastAsia" w:ascii="黑体" w:hAnsi="黑体" w:eastAsia="黑体" w:cs="仿宋_GB2312"/>
          <w:kern w:val="0"/>
          <w:sz w:val="32"/>
          <w:szCs w:val="32"/>
        </w:rPr>
        <w:t>度一般公共预算财政拨款基本支出决算情况说明</w:t>
      </w:r>
    </w:p>
    <w:p w14:paraId="7A2CF76A">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sz w:val="32"/>
          <w:szCs w:val="32"/>
        </w:rPr>
        <w:t>一般</w:t>
      </w:r>
      <w:r>
        <w:rPr>
          <w:rFonts w:hint="eastAsia" w:ascii="仿宋_GB2312" w:hAnsi="仿宋_GB2312" w:eastAsia="仿宋_GB2312" w:cs="仿宋_GB2312"/>
          <w:kern w:val="0"/>
          <w:sz w:val="32"/>
          <w:szCs w:val="32"/>
        </w:rPr>
        <w:t>公共预算财政拨款基本支出28,518.10万元，支出具体情况如下：</w:t>
      </w:r>
    </w:p>
    <w:p w14:paraId="1786EA67">
      <w:pPr>
        <w:autoSpaceDE w:val="0"/>
        <w:autoSpaceDN w:val="0"/>
        <w:adjustRightInd w:val="0"/>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工资福利支出22,790.46万元，完成年初预算的104.53%，预算差异原因是2023年绩效工资核定总量增加，绩效工资较预算增加，年中追加绩效工资。主要包括：基本工资、津贴补贴、绩效工资、机关事业单位基本养老保险缴费、职业年金缴费、职工基本医疗保险缴费、其他社会保障缴费、住房公积金等。</w:t>
      </w:r>
    </w:p>
    <w:p w14:paraId="5F196466">
      <w:pPr>
        <w:autoSpaceDE w:val="0"/>
        <w:autoSpaceDN w:val="0"/>
        <w:adjustRightInd w:val="0"/>
        <w:spacing w:line="56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kern w:val="0"/>
          <w:sz w:val="32"/>
          <w:szCs w:val="32"/>
        </w:rPr>
        <w:t>（二）商品和服务支出3,400.59万元，完成年初预算的95.26%。</w:t>
      </w:r>
      <w:r>
        <w:rPr>
          <w:rFonts w:hint="eastAsia" w:ascii="仿宋_GB2312" w:hAnsi="仿宋_GB2312" w:eastAsia="仿宋_GB2312" w:cs="仿宋_GB2312"/>
          <w:bCs/>
          <w:color w:val="auto"/>
          <w:kern w:val="0"/>
          <w:sz w:val="32"/>
          <w:szCs w:val="32"/>
        </w:rPr>
        <w:t>预算差异原因是根据2023年度实际工作情况，会议费、培训费、公务接待费、公务用车运行维护费和退休人员公用经费据实支出，部分单位确实没有相关经费的业务发生，导致经费年底有结余，且根据《广西壮族自治区财政厅关于收回自治区广电局2023年部门预算的函》（桂财教函〔2023〕341号）文已由财政收回结余指标。主要包括：办公费、水费、电费、差旅费、维修（护）费、培训费、劳务费、物业管理费</w:t>
      </w:r>
      <w:r>
        <w:rPr>
          <w:rFonts w:hint="eastAsia" w:ascii="仿宋_GB2312" w:hAnsi="仿宋_GB2312" w:eastAsia="仿宋_GB2312" w:cs="仿宋_GB2312"/>
          <w:bCs/>
          <w:color w:val="auto"/>
          <w:kern w:val="0"/>
          <w:sz w:val="32"/>
          <w:szCs w:val="32"/>
          <w:lang w:eastAsia="zh-CN"/>
        </w:rPr>
        <w:t>、专用设备购置、无形资产购置、</w:t>
      </w:r>
      <w:r>
        <w:rPr>
          <w:rFonts w:hint="eastAsia" w:ascii="仿宋_GB2312" w:hAnsi="仿宋_GB2312" w:eastAsia="仿宋_GB2312" w:cs="仿宋_GB2312"/>
          <w:bCs/>
          <w:color w:val="auto"/>
          <w:kern w:val="0"/>
          <w:sz w:val="32"/>
          <w:szCs w:val="32"/>
        </w:rPr>
        <w:t>其他商品和服务支出等。</w:t>
      </w:r>
    </w:p>
    <w:p w14:paraId="44020797">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Cs/>
          <w:kern w:val="0"/>
          <w:sz w:val="32"/>
          <w:szCs w:val="32"/>
        </w:rPr>
        <w:t>（三）对个人和家庭补助支出2,327.06万元，完成年初预算的119.04%。</w:t>
      </w:r>
      <w:r>
        <w:rPr>
          <w:rFonts w:hint="eastAsia" w:ascii="仿宋_GB2312" w:hAnsi="仿宋_GB2312" w:eastAsia="仿宋_GB2312" w:cs="仿宋_GB2312"/>
          <w:bCs/>
          <w:color w:val="auto"/>
          <w:kern w:val="0"/>
          <w:sz w:val="32"/>
          <w:szCs w:val="32"/>
        </w:rPr>
        <w:t>预算差异原因一是2023年退休人员补贴标准增加，年中追加相关经费；二是单位在编退休人数较预算增加，年中追加相关经费；三是人员死亡，年中追加相关经费。主要包括离休费、退休费、抚恤金、医疗费补助、其他对个人和家庭的补助支出等。</w:t>
      </w:r>
    </w:p>
    <w:p w14:paraId="7D9FA175">
      <w:pPr>
        <w:autoSpaceDE w:val="0"/>
        <w:autoSpaceDN w:val="0"/>
        <w:adjustRightInd w:val="0"/>
        <w:spacing w:line="56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2023年</w:t>
      </w:r>
      <w:r>
        <w:rPr>
          <w:rFonts w:hint="eastAsia" w:ascii="黑体" w:hAnsi="黑体" w:eastAsia="黑体" w:cs="仿宋_GB2312"/>
          <w:kern w:val="0"/>
          <w:sz w:val="32"/>
          <w:szCs w:val="32"/>
        </w:rPr>
        <w:t>度政府性基金支出决算情况</w:t>
      </w:r>
    </w:p>
    <w:p w14:paraId="07FF73BC">
      <w:pPr>
        <w:autoSpaceDE w:val="0"/>
        <w:autoSpaceDN w:val="0"/>
        <w:adjustRightInd w:val="0"/>
        <w:spacing w:line="560" w:lineRule="exact"/>
        <w:ind w:firstLine="640" w:firstLineChars="200"/>
        <w:rPr>
          <w:rFonts w:ascii="仿宋_GB2312" w:hAnsi="Times New Roman" w:eastAsia="仿宋_GB2312" w:cs="仿宋_GB2312"/>
          <w:kern w:val="0"/>
          <w:sz w:val="32"/>
          <w:szCs w:val="32"/>
        </w:rPr>
      </w:pPr>
      <w:r>
        <w:rPr>
          <w:rFonts w:hint="eastAsia" w:ascii="仿宋_GB2312" w:hAnsi="黑体" w:eastAsia="仿宋_GB2312"/>
          <w:bCs/>
          <w:sz w:val="32"/>
          <w:szCs w:val="32"/>
        </w:rPr>
        <w:t>自治区广电局</w:t>
      </w:r>
      <w:r>
        <w:rPr>
          <w:rFonts w:hint="eastAsia" w:ascii="仿宋_GB2312" w:hAnsi="Times New Roman" w:eastAsia="仿宋_GB2312"/>
          <w:kern w:val="0"/>
          <w:sz w:val="32"/>
          <w:szCs w:val="32"/>
          <w:lang w:eastAsia="zh-CN"/>
        </w:rPr>
        <w:t>2023年</w:t>
      </w:r>
      <w:r>
        <w:rPr>
          <w:rFonts w:hint="eastAsia" w:ascii="仿宋_GB2312" w:hAnsi="Times New Roman" w:eastAsia="仿宋_GB2312" w:cs="仿宋_GB2312"/>
          <w:kern w:val="0"/>
          <w:sz w:val="32"/>
          <w:szCs w:val="32"/>
        </w:rPr>
        <w:t>度政府性基金支出</w:t>
      </w:r>
      <w:r>
        <w:rPr>
          <w:rFonts w:hint="eastAsia" w:ascii="仿宋_GB2312" w:hAnsi="Times New Roman" w:eastAsia="仿宋_GB2312"/>
          <w:kern w:val="0"/>
          <w:sz w:val="32"/>
          <w:szCs w:val="32"/>
        </w:rPr>
        <w:t>0</w:t>
      </w:r>
      <w:r>
        <w:rPr>
          <w:rFonts w:hint="eastAsia" w:ascii="仿宋_GB2312" w:hAnsi="Times New Roman"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2022年</w:t>
      </w:r>
      <w:r>
        <w:rPr>
          <w:rFonts w:hint="eastAsia" w:ascii="仿宋_GB2312" w:hAnsi="黑体" w:eastAsia="仿宋_GB2312" w:cs="仿宋_GB2312"/>
          <w:kern w:val="0"/>
          <w:sz w:val="32"/>
          <w:szCs w:val="32"/>
        </w:rPr>
        <w:t>度决算数增加（减少）0万元，增长（下降）0%。</w:t>
      </w:r>
      <w:r>
        <w:rPr>
          <w:rFonts w:hint="eastAsia" w:ascii="仿宋_GB2312" w:hAnsi="Times New Roman" w:eastAsia="仿宋_GB2312" w:cs="仿宋_GB2312"/>
          <w:kern w:val="0"/>
          <w:sz w:val="32"/>
          <w:szCs w:val="32"/>
        </w:rPr>
        <w:t>其中：基本支出</w:t>
      </w:r>
      <w:r>
        <w:rPr>
          <w:rFonts w:hint="eastAsia" w:ascii="仿宋_GB2312" w:hAnsi="Times New Roman" w:eastAsia="仿宋_GB2312"/>
          <w:kern w:val="0"/>
          <w:sz w:val="32"/>
          <w:szCs w:val="32"/>
        </w:rPr>
        <w:t>0</w:t>
      </w:r>
      <w:r>
        <w:rPr>
          <w:rFonts w:hint="eastAsia" w:ascii="仿宋_GB2312" w:hAnsi="Times New Roman" w:eastAsia="仿宋_GB2312" w:cs="仿宋_GB2312"/>
          <w:kern w:val="0"/>
          <w:sz w:val="32"/>
          <w:szCs w:val="32"/>
        </w:rPr>
        <w:t>万元，项目支出</w:t>
      </w:r>
      <w:r>
        <w:rPr>
          <w:rFonts w:hint="eastAsia" w:ascii="仿宋_GB2312" w:hAnsi="Times New Roman" w:eastAsia="仿宋_GB2312"/>
          <w:kern w:val="0"/>
          <w:sz w:val="32"/>
          <w:szCs w:val="32"/>
        </w:rPr>
        <w:t>0</w:t>
      </w:r>
      <w:r>
        <w:rPr>
          <w:rFonts w:hint="eastAsia" w:ascii="仿宋_GB2312" w:hAnsi="Times New Roman" w:eastAsia="仿宋_GB2312" w:cs="仿宋_GB2312"/>
          <w:kern w:val="0"/>
          <w:sz w:val="32"/>
          <w:szCs w:val="32"/>
        </w:rPr>
        <w:t>万元。</w:t>
      </w:r>
    </w:p>
    <w:p w14:paraId="3ED861A0">
      <w:pPr>
        <w:autoSpaceDE w:val="0"/>
        <w:autoSpaceDN w:val="0"/>
        <w:adjustRightInd w:val="0"/>
        <w:spacing w:line="560" w:lineRule="exact"/>
        <w:ind w:firstLine="640" w:firstLineChars="200"/>
        <w:rPr>
          <w:rFonts w:ascii="仿宋_GB2312" w:hAnsi="Times New Roman" w:eastAsia="仿宋_GB2312" w:cs="仿宋_GB2312"/>
          <w:kern w:val="0"/>
          <w:sz w:val="32"/>
          <w:szCs w:val="32"/>
        </w:rPr>
      </w:pPr>
      <w:r>
        <w:rPr>
          <w:rFonts w:hint="eastAsia" w:ascii="仿宋_GB2312" w:hAnsi="黑体" w:eastAsia="仿宋_GB2312"/>
          <w:bCs/>
          <w:sz w:val="32"/>
          <w:szCs w:val="32"/>
        </w:rPr>
        <w:t>自治区广电局</w:t>
      </w:r>
      <w:r>
        <w:rPr>
          <w:rFonts w:hint="eastAsia" w:ascii="仿宋_GB2312" w:hAnsi="黑体" w:eastAsia="仿宋_GB2312"/>
          <w:kern w:val="0"/>
          <w:sz w:val="32"/>
          <w:szCs w:val="32"/>
          <w:lang w:eastAsia="zh-CN"/>
        </w:rPr>
        <w:t>2023年</w:t>
      </w:r>
      <w:r>
        <w:rPr>
          <w:rFonts w:hint="eastAsia" w:ascii="仿宋_GB2312" w:hAnsi="黑体" w:eastAsia="仿宋_GB2312" w:cs="仿宋_GB2312"/>
          <w:kern w:val="0"/>
          <w:sz w:val="32"/>
          <w:szCs w:val="32"/>
        </w:rPr>
        <w:t>度政府性基金支出年初预算为0万元，支出决算为0万元，完成年初预算的0%。</w:t>
      </w:r>
    </w:p>
    <w:p w14:paraId="7A5E97D0">
      <w:pPr>
        <w:autoSpaceDE w:val="0"/>
        <w:autoSpaceDN w:val="0"/>
        <w:adjustRightInd w:val="0"/>
        <w:spacing w:line="56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2023年</w:t>
      </w:r>
      <w:r>
        <w:rPr>
          <w:rFonts w:hint="eastAsia" w:ascii="黑体" w:hAnsi="黑体" w:eastAsia="黑体" w:cs="仿宋_GB2312"/>
          <w:kern w:val="0"/>
          <w:sz w:val="32"/>
          <w:szCs w:val="32"/>
        </w:rPr>
        <w:t>度国有资本经营预算支出决算情况</w:t>
      </w:r>
    </w:p>
    <w:p w14:paraId="227F817A">
      <w:pPr>
        <w:autoSpaceDE w:val="0"/>
        <w:autoSpaceDN w:val="0"/>
        <w:adjustRightInd w:val="0"/>
        <w:spacing w:line="560" w:lineRule="exact"/>
        <w:ind w:firstLine="640" w:firstLineChars="200"/>
        <w:rPr>
          <w:rFonts w:ascii="仿宋_GB2312" w:hAnsi="Times New Roman" w:eastAsia="仿宋_GB2312" w:cs="仿宋_GB2312"/>
          <w:kern w:val="0"/>
          <w:sz w:val="32"/>
          <w:szCs w:val="32"/>
        </w:rPr>
      </w:pPr>
      <w:r>
        <w:rPr>
          <w:rFonts w:hint="eastAsia" w:ascii="仿宋_GB2312" w:hAnsi="黑体" w:eastAsia="仿宋_GB2312"/>
          <w:bCs/>
          <w:sz w:val="32"/>
          <w:szCs w:val="32"/>
        </w:rPr>
        <w:t>自治区广电局</w:t>
      </w:r>
      <w:r>
        <w:rPr>
          <w:rFonts w:hint="eastAsia" w:ascii="仿宋_GB2312" w:hAnsi="Times New Roman" w:eastAsia="仿宋_GB2312"/>
          <w:kern w:val="0"/>
          <w:sz w:val="32"/>
          <w:szCs w:val="32"/>
          <w:lang w:eastAsia="zh-CN"/>
        </w:rPr>
        <w:t>2023年</w:t>
      </w:r>
      <w:r>
        <w:rPr>
          <w:rFonts w:hint="eastAsia" w:ascii="仿宋_GB2312" w:hAnsi="Times New Roman" w:eastAsia="仿宋_GB2312" w:cs="仿宋_GB2312"/>
          <w:kern w:val="0"/>
          <w:sz w:val="32"/>
          <w:szCs w:val="32"/>
        </w:rPr>
        <w:t>度国有资本经营预算支出0万元</w:t>
      </w:r>
      <w:r>
        <w:rPr>
          <w:rFonts w:hint="eastAsia" w:ascii="仿宋_GB2312" w:hAnsi="黑体" w:eastAsia="仿宋_GB2312" w:cs="仿宋_GB2312"/>
          <w:kern w:val="0"/>
          <w:sz w:val="32"/>
          <w:szCs w:val="32"/>
        </w:rPr>
        <w:t>。</w:t>
      </w:r>
      <w:r>
        <w:rPr>
          <w:rFonts w:hint="eastAsia" w:ascii="仿宋_GB2312" w:hAnsi="Times New Roman" w:eastAsia="仿宋_GB2312" w:cs="仿宋_GB2312"/>
          <w:kern w:val="0"/>
          <w:sz w:val="32"/>
          <w:szCs w:val="32"/>
        </w:rPr>
        <w:t>其中：基本支出</w:t>
      </w:r>
      <w:r>
        <w:rPr>
          <w:rFonts w:hint="eastAsia" w:ascii="仿宋_GB2312" w:hAnsi="Times New Roman" w:eastAsia="仿宋_GB2312"/>
          <w:kern w:val="0"/>
          <w:sz w:val="32"/>
          <w:szCs w:val="32"/>
        </w:rPr>
        <w:t>0</w:t>
      </w:r>
      <w:r>
        <w:rPr>
          <w:rFonts w:hint="eastAsia" w:ascii="仿宋_GB2312" w:hAnsi="Times New Roman" w:eastAsia="仿宋_GB2312" w:cs="仿宋_GB2312"/>
          <w:kern w:val="0"/>
          <w:sz w:val="32"/>
          <w:szCs w:val="32"/>
        </w:rPr>
        <w:t>万元，项目支出</w:t>
      </w:r>
      <w:r>
        <w:rPr>
          <w:rFonts w:hint="eastAsia" w:ascii="仿宋_GB2312" w:hAnsi="Times New Roman" w:eastAsia="仿宋_GB2312"/>
          <w:kern w:val="0"/>
          <w:sz w:val="32"/>
          <w:szCs w:val="32"/>
        </w:rPr>
        <w:t>0</w:t>
      </w:r>
      <w:r>
        <w:rPr>
          <w:rFonts w:hint="eastAsia" w:ascii="仿宋_GB2312" w:hAnsi="Times New Roman" w:eastAsia="仿宋_GB2312" w:cs="仿宋_GB2312"/>
          <w:kern w:val="0"/>
          <w:sz w:val="32"/>
          <w:szCs w:val="32"/>
        </w:rPr>
        <w:t>万元。</w:t>
      </w:r>
    </w:p>
    <w:p w14:paraId="4CA40B68">
      <w:pPr>
        <w:autoSpaceDE w:val="0"/>
        <w:autoSpaceDN w:val="0"/>
        <w:adjustRightInd w:val="0"/>
        <w:spacing w:line="560" w:lineRule="exact"/>
        <w:ind w:firstLine="640" w:firstLineChars="200"/>
        <w:rPr>
          <w:rFonts w:ascii="仿宋_GB2312" w:hAnsi="Times New Roman" w:eastAsia="仿宋_GB2312" w:cs="仿宋_GB2312"/>
          <w:kern w:val="0"/>
          <w:sz w:val="32"/>
          <w:szCs w:val="32"/>
        </w:rPr>
      </w:pPr>
      <w:r>
        <w:rPr>
          <w:rFonts w:hint="eastAsia" w:ascii="仿宋_GB2312" w:hAnsi="黑体" w:eastAsia="仿宋_GB2312"/>
          <w:bCs/>
          <w:sz w:val="32"/>
          <w:szCs w:val="32"/>
        </w:rPr>
        <w:t>自治区广电局</w:t>
      </w:r>
      <w:r>
        <w:rPr>
          <w:rFonts w:hint="eastAsia" w:ascii="仿宋_GB2312" w:hAnsi="黑体" w:eastAsia="仿宋_GB2312"/>
          <w:kern w:val="0"/>
          <w:sz w:val="32"/>
          <w:szCs w:val="32"/>
          <w:lang w:eastAsia="zh-CN"/>
        </w:rPr>
        <w:t>2023年</w:t>
      </w:r>
      <w:r>
        <w:rPr>
          <w:rFonts w:hint="eastAsia" w:ascii="仿宋_GB2312" w:hAnsi="黑体" w:eastAsia="仿宋_GB2312" w:cs="仿宋_GB2312"/>
          <w:kern w:val="0"/>
          <w:sz w:val="32"/>
          <w:szCs w:val="32"/>
        </w:rPr>
        <w:t>度</w:t>
      </w:r>
      <w:r>
        <w:rPr>
          <w:rFonts w:hint="eastAsia" w:ascii="仿宋_GB2312" w:hAnsi="Times New Roman"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支出年初预算为0万元，支出决算为0万元，完成年初预算的0%。</w:t>
      </w:r>
    </w:p>
    <w:p w14:paraId="4DD9DCFF">
      <w:pPr>
        <w:autoSpaceDE w:val="0"/>
        <w:autoSpaceDN w:val="0"/>
        <w:adjustRightInd w:val="0"/>
        <w:spacing w:line="56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7C8D3CD6">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highlight w:val="yellow"/>
        </w:rPr>
      </w:pPr>
      <w:r>
        <w:rPr>
          <w:rFonts w:hint="eastAsia" w:ascii="仿宋_GB2312" w:hAnsi="仿宋_GB2312" w:eastAsia="仿宋_GB2312" w:cs="仿宋_GB2312"/>
          <w:kern w:val="0"/>
          <w:sz w:val="32"/>
          <w:szCs w:val="32"/>
          <w:lang w:eastAsia="zh-CN"/>
        </w:rPr>
        <w:t>2023年</w:t>
      </w:r>
      <w:r>
        <w:rPr>
          <w:rFonts w:hint="eastAsia" w:ascii="仿宋_GB2312" w:hAnsi="仿宋_GB2312" w:eastAsia="仿宋_GB2312" w:cs="仿宋_GB2312"/>
          <w:kern w:val="0"/>
          <w:sz w:val="32"/>
          <w:szCs w:val="32"/>
        </w:rPr>
        <w:t>度财政拨款安排的“三公”经费支出342.34万元，完成年初预算的96.34%，</w:t>
      </w:r>
      <w:r>
        <w:rPr>
          <w:rFonts w:hint="eastAsia" w:ascii="仿宋_GB2312" w:hAnsi="仿宋_GB2312" w:eastAsia="仿宋_GB2312" w:cs="仿宋_GB2312"/>
          <w:color w:val="auto"/>
          <w:kern w:val="0"/>
          <w:sz w:val="32"/>
          <w:szCs w:val="32"/>
        </w:rPr>
        <w:t>比上年增加69.87万元，主要原因是一是本年不受疫情影响，较上年增加了接待人次和批次，导致经费相应增加</w:t>
      </w:r>
      <w:r>
        <w:rPr>
          <w:rFonts w:hint="eastAsia" w:ascii="仿宋_GB2312" w:hAnsi="仿宋_GB2312" w:eastAsia="仿宋_GB2312" w:cs="仿宋_GB2312"/>
          <w:color w:val="auto"/>
          <w:kern w:val="0"/>
          <w:sz w:val="32"/>
          <w:szCs w:val="32"/>
          <w:lang w:eastAsia="zh-CN"/>
        </w:rPr>
        <w:t>，二是</w:t>
      </w:r>
      <w:r>
        <w:rPr>
          <w:rFonts w:hint="eastAsia" w:ascii="仿宋_GB2312" w:hAnsi="仿宋" w:eastAsia="仿宋_GB2312"/>
          <w:sz w:val="32"/>
          <w:szCs w:val="32"/>
        </w:rPr>
        <w:t>自治区广电局本级</w:t>
      </w:r>
      <w:r>
        <w:rPr>
          <w:rFonts w:hint="eastAsia" w:ascii="仿宋_GB2312" w:hAnsi="仿宋" w:eastAsia="仿宋_GB2312" w:cs="仿宋"/>
          <w:color w:val="000000"/>
          <w:sz w:val="32"/>
          <w:szCs w:val="32"/>
        </w:rPr>
        <w:t>本年不受疫情影响，按照出国计划，分别赴新加坡</w:t>
      </w:r>
      <w:r>
        <w:rPr>
          <w:rFonts w:hint="eastAsia" w:ascii="仿宋_GB2312" w:hAnsi="仿宋" w:eastAsia="仿宋_GB2312" w:cs="仿宋"/>
          <w:color w:val="auto"/>
          <w:sz w:val="32"/>
          <w:szCs w:val="32"/>
        </w:rPr>
        <w:t>、泰国、马来西亚执行交流访问任务。</w:t>
      </w:r>
      <w:r>
        <w:rPr>
          <w:rFonts w:hint="eastAsia" w:ascii="仿宋_GB2312" w:hAnsi="仿宋_GB2312" w:eastAsia="仿宋_GB2312" w:cs="仿宋_GB2312"/>
          <w:color w:val="auto"/>
          <w:kern w:val="0"/>
          <w:sz w:val="32"/>
          <w:szCs w:val="32"/>
        </w:rPr>
        <w:t>其中：因公出国（境）费支出决算40.84万元，公务接待费支出决算10.49万元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公务用车购置及运行维护费</w:t>
      </w:r>
      <w:r>
        <w:rPr>
          <w:rFonts w:hint="eastAsia" w:ascii="仿宋_GB2312" w:hAnsi="仿宋_GB2312" w:eastAsia="仿宋_GB2312" w:cs="仿宋_GB2312"/>
          <w:color w:val="auto"/>
          <w:kern w:val="0"/>
          <w:sz w:val="32"/>
          <w:szCs w:val="32"/>
          <w:lang w:eastAsia="zh-CN"/>
        </w:rPr>
        <w:t>18.55万元</w:t>
      </w:r>
      <w:r>
        <w:rPr>
          <w:rFonts w:hint="eastAsia" w:ascii="仿宋_GB2312" w:hAnsi="仿宋_GB2312" w:eastAsia="仿宋_GB2312" w:cs="仿宋_GB2312"/>
          <w:color w:val="auto"/>
          <w:kern w:val="0"/>
          <w:sz w:val="32"/>
          <w:szCs w:val="32"/>
        </w:rPr>
        <w:t>。</w:t>
      </w:r>
    </w:p>
    <w:p w14:paraId="55C3C4A1">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具体情况如下：</w:t>
      </w:r>
    </w:p>
    <w:p w14:paraId="23C8A009">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（一）因公出国（境）费支出40.84万元，完成年初预算的</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0%，增加40.84万元，同比增长100%，原因是自治区广电局本级本年不受疫情影响，按照出国计划，分别赴新加坡、泰国、马来西亚执行交流访问任务。</w:t>
      </w:r>
    </w:p>
    <w:p w14:paraId="76C1C11D">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（二）公务用车购置及运行费支出287.04万元。其中：</w:t>
      </w:r>
    </w:p>
    <w:p w14:paraId="3A7F8224">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公务用车购置支出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%，比上年</w:t>
      </w:r>
      <w:r>
        <w:rPr>
          <w:rFonts w:hint="eastAsia" w:ascii="仿宋_GB2312" w:hAnsi="仿宋_GB2312" w:eastAsia="仿宋_GB2312" w:cs="仿宋_GB2312"/>
          <w:color w:val="auto"/>
          <w:kern w:val="0"/>
          <w:sz w:val="32"/>
          <w:szCs w:val="32"/>
          <w:lang w:eastAsia="zh-CN"/>
        </w:rPr>
        <w:t>减少17.98万元，下降100%，</w:t>
      </w:r>
      <w:r>
        <w:rPr>
          <w:rFonts w:hint="eastAsia" w:ascii="仿宋_GB2312" w:hAnsi="仿宋_GB2312" w:eastAsia="仿宋_GB2312" w:cs="仿宋_GB2312"/>
          <w:color w:val="auto"/>
          <w:kern w:val="0"/>
          <w:sz w:val="32"/>
          <w:szCs w:val="32"/>
        </w:rPr>
        <w:t>原因是</w:t>
      </w:r>
      <w:r>
        <w:rPr>
          <w:rFonts w:hint="eastAsia" w:ascii="仿宋_GB2312" w:hAnsi="仿宋_GB2312" w:eastAsia="仿宋_GB2312" w:cs="仿宋_GB2312"/>
          <w:color w:val="auto"/>
          <w:kern w:val="0"/>
          <w:sz w:val="32"/>
          <w:szCs w:val="32"/>
          <w:lang w:eastAsia="zh-CN"/>
        </w:rPr>
        <w:t>本年无安排购置公务用车。</w:t>
      </w:r>
    </w:p>
    <w:p w14:paraId="0B58E12E">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公务用车运行支出287.04万元，完成年初预算的95.83%，</w:t>
      </w:r>
      <w:r>
        <w:rPr>
          <w:rFonts w:hint="eastAsia" w:ascii="仿宋_GB2312" w:hAnsi="仿宋_GB2312" w:eastAsia="仿宋_GB2312" w:cs="仿宋_GB2312"/>
          <w:color w:val="auto"/>
          <w:kern w:val="0"/>
          <w:sz w:val="32"/>
          <w:szCs w:val="32"/>
        </w:rPr>
        <w:t>比上年同比增加36.53万元，同比增长14.58%，原因是随着新建乡镇、乡镇级台站的逐年增加，发射设备故障率增加，维修维护工作量增加，出差频率高，单位公务用车运行维护费相应增加。主要用于机要文件交换、市内因公出行以及开展广播电视台站运行维护等业务所需车辆燃料费、维修费、过路过桥费、保险费等。自治区广电局机关、22个所属单位开支财政拨款的公务用车保有量为12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bCs/>
          <w:color w:val="auto"/>
          <w:sz w:val="32"/>
          <w:szCs w:val="32"/>
        </w:rPr>
        <w:t>，全年运行费支出</w:t>
      </w:r>
      <w:r>
        <w:rPr>
          <w:rFonts w:hint="eastAsia" w:ascii="仿宋_GB2312" w:hAnsi="仿宋_GB2312" w:eastAsia="仿宋_GB2312" w:cs="仿宋_GB2312"/>
          <w:bCs/>
          <w:color w:val="auto"/>
          <w:sz w:val="32"/>
          <w:szCs w:val="32"/>
          <w:lang w:val="en-US" w:eastAsia="zh-CN"/>
        </w:rPr>
        <w:t>287.04</w:t>
      </w:r>
      <w:r>
        <w:rPr>
          <w:rFonts w:hint="eastAsia" w:ascii="仿宋_GB2312" w:hAnsi="仿宋_GB2312" w:eastAsia="仿宋_GB2312" w:cs="仿宋_GB2312"/>
          <w:bCs/>
          <w:color w:val="auto"/>
          <w:sz w:val="32"/>
          <w:szCs w:val="32"/>
        </w:rPr>
        <w:t>万元，平均每辆2.</w:t>
      </w:r>
      <w:r>
        <w:rPr>
          <w:rFonts w:hint="eastAsia" w:ascii="仿宋_GB2312" w:hAnsi="仿宋_GB2312" w:eastAsia="仿宋_GB2312" w:cs="仿宋_GB2312"/>
          <w:bCs/>
          <w:color w:val="auto"/>
          <w:sz w:val="32"/>
          <w:szCs w:val="32"/>
          <w:lang w:val="en-US" w:eastAsia="zh-CN"/>
        </w:rPr>
        <w:t>334</w:t>
      </w:r>
      <w:r>
        <w:rPr>
          <w:rFonts w:hint="eastAsia" w:ascii="仿宋_GB2312" w:hAnsi="仿宋_GB2312" w:eastAsia="仿宋_GB2312" w:cs="仿宋_GB2312"/>
          <w:bCs/>
          <w:color w:val="auto"/>
          <w:sz w:val="32"/>
          <w:szCs w:val="32"/>
        </w:rPr>
        <w:t>万元。</w:t>
      </w:r>
    </w:p>
    <w:p w14:paraId="2594EBFF">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（三）公务接待费支出14.47万元，完成年初预算的96.53%，比上年增加10.49万元，同比增长</w:t>
      </w:r>
      <w:r>
        <w:rPr>
          <w:rFonts w:hint="eastAsia" w:ascii="仿宋_GB2312" w:hAnsi="仿宋" w:eastAsia="仿宋_GB2312"/>
          <w:sz w:val="32"/>
          <w:szCs w:val="32"/>
        </w:rPr>
        <w:t>263.64%</w:t>
      </w:r>
      <w:r>
        <w:rPr>
          <w:rFonts w:hint="eastAsia" w:ascii="仿宋_GB2312" w:hAnsi="仿宋_GB2312" w:eastAsia="仿宋_GB2312" w:cs="仿宋_GB2312"/>
          <w:color w:val="auto"/>
          <w:kern w:val="0"/>
          <w:sz w:val="32"/>
          <w:szCs w:val="32"/>
        </w:rPr>
        <w:t>，，原因是原因本年不受疫情影响，较上年增加了接待人次和批次，导致经费相应增加。国内公务接待批次</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1次，人次855次，国（境）外公务接待批次</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次，人次</w:t>
      </w:r>
      <w:r>
        <w:rPr>
          <w:rFonts w:hint="eastAsia" w:ascii="仿宋_GB2312" w:hAnsi="仿宋_GB2312" w:eastAsia="仿宋_GB2312" w:cs="仿宋_GB2312"/>
          <w:color w:val="auto"/>
          <w:kern w:val="0"/>
          <w:sz w:val="32"/>
          <w:szCs w:val="32"/>
          <w:lang w:val="en-US" w:eastAsia="zh-CN"/>
        </w:rPr>
        <w:t>114</w:t>
      </w:r>
      <w:r>
        <w:rPr>
          <w:rFonts w:hint="eastAsia" w:ascii="仿宋_GB2312" w:hAnsi="仿宋_GB2312" w:eastAsia="仿宋_GB2312" w:cs="仿宋_GB2312"/>
          <w:color w:val="auto"/>
          <w:kern w:val="0"/>
          <w:sz w:val="32"/>
          <w:szCs w:val="32"/>
        </w:rPr>
        <w:t>次。其中：</w:t>
      </w:r>
    </w:p>
    <w:p w14:paraId="03176073">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1.自治区广电局本级公务接待费支出7.74万元，公务接待累计23批次，272人次，主要用于上级有关部门来广西调研检查指导工作、其他省（市）同行来广西进行业务交流所发生接待费用。</w:t>
      </w:r>
    </w:p>
    <w:p w14:paraId="14640071">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2.广西广播电视监测中心公务接待费支出0.9</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批次，51人次，主要用于上级有关部门来广西调研检查指导工作、其他省（市）同行来广西进行业务交流所发生接待费用。</w:t>
      </w:r>
    </w:p>
    <w:p w14:paraId="5F846541">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3.广西广播电视技术中心公务接待费支出5.82万元，公务接待</w:t>
      </w:r>
      <w:r>
        <w:rPr>
          <w:rFonts w:hint="eastAsia" w:ascii="仿宋_GB2312" w:hAnsi="仿宋_GB2312" w:eastAsia="仿宋_GB2312" w:cs="仿宋_GB2312"/>
          <w:color w:val="auto"/>
          <w:kern w:val="0"/>
          <w:sz w:val="32"/>
          <w:szCs w:val="32"/>
          <w:lang w:val="en-US" w:eastAsia="zh-CN"/>
        </w:rPr>
        <w:t>50</w:t>
      </w:r>
      <w:r>
        <w:rPr>
          <w:rFonts w:hint="eastAsia" w:ascii="仿宋_GB2312" w:hAnsi="仿宋_GB2312" w:eastAsia="仿宋_GB2312" w:cs="仿宋_GB2312"/>
          <w:color w:val="auto"/>
          <w:kern w:val="0"/>
          <w:sz w:val="32"/>
          <w:szCs w:val="32"/>
        </w:rPr>
        <w:t>批次，</w:t>
      </w:r>
      <w:r>
        <w:rPr>
          <w:rFonts w:hint="eastAsia" w:ascii="仿宋_GB2312" w:hAnsi="仿宋_GB2312" w:eastAsia="仿宋_GB2312" w:cs="仿宋_GB2312"/>
          <w:color w:val="auto"/>
          <w:kern w:val="0"/>
          <w:sz w:val="32"/>
          <w:szCs w:val="32"/>
          <w:lang w:val="en-US" w:eastAsia="zh-CN"/>
        </w:rPr>
        <w:t>532</w:t>
      </w:r>
      <w:r>
        <w:rPr>
          <w:rFonts w:hint="eastAsia" w:ascii="仿宋_GB2312" w:hAnsi="仿宋_GB2312" w:eastAsia="仿宋_GB2312" w:cs="仿宋_GB2312"/>
          <w:color w:val="auto"/>
          <w:kern w:val="0"/>
          <w:sz w:val="32"/>
          <w:szCs w:val="32"/>
        </w:rPr>
        <w:t>人次，主要用于上级有关部门来广西调研检查指导工作、其他省（市）同行来广西进行业务交流的公务接待费用。</w:t>
      </w:r>
    </w:p>
    <w:p w14:paraId="2CF51918">
      <w:pPr>
        <w:autoSpaceDE w:val="0"/>
        <w:autoSpaceDN w:val="0"/>
        <w:adjustRightInd w:val="0"/>
        <w:spacing w:line="560" w:lineRule="exact"/>
        <w:ind w:firstLine="627" w:firstLineChars="196"/>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2B9CAEC6">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（一）机关运行经费支出情况说明。</w:t>
      </w:r>
    </w:p>
    <w:p w14:paraId="6C2938D0">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本部门</w:t>
      </w:r>
      <w:r>
        <w:rPr>
          <w:rFonts w:hint="eastAsia" w:ascii="仿宋_GB2312" w:hAnsi="仿宋_GB2312" w:eastAsia="仿宋_GB2312" w:cs="仿宋_GB2312"/>
          <w:color w:val="auto"/>
          <w:kern w:val="0"/>
          <w:sz w:val="32"/>
          <w:szCs w:val="32"/>
          <w:highlight w:val="none"/>
          <w:lang w:eastAsia="zh-CN"/>
        </w:rPr>
        <w:t>2023年</w:t>
      </w:r>
      <w:r>
        <w:rPr>
          <w:rFonts w:hint="eastAsia" w:ascii="仿宋_GB2312" w:hAnsi="仿宋_GB2312" w:eastAsia="仿宋_GB2312" w:cs="仿宋_GB2312"/>
          <w:color w:val="auto"/>
          <w:kern w:val="0"/>
          <w:sz w:val="32"/>
          <w:szCs w:val="32"/>
          <w:highlight w:val="none"/>
        </w:rPr>
        <w:t>度机关运行经费支出251.67万元（与部门决算中行政单位和参照公务员法管理事业单位一般公共预算财政拨款基本支出中公用经费之和保持一致），比年初预算数减少</w:t>
      </w:r>
      <w:r>
        <w:rPr>
          <w:rFonts w:hint="eastAsia" w:ascii="仿宋_GB2312" w:hAnsi="仿宋_GB2312" w:eastAsia="仿宋_GB2312" w:cs="仿宋_GB2312"/>
          <w:color w:val="auto"/>
          <w:kern w:val="0"/>
          <w:sz w:val="32"/>
          <w:szCs w:val="32"/>
          <w:highlight w:val="none"/>
          <w:lang w:val="en-US" w:eastAsia="zh-CN"/>
        </w:rPr>
        <w:t>24.07</w:t>
      </w:r>
      <w:r>
        <w:rPr>
          <w:rFonts w:hint="eastAsia" w:ascii="仿宋_GB2312" w:hAnsi="仿宋_GB2312" w:eastAsia="仿宋_GB2312" w:cs="仿宋_GB2312"/>
          <w:color w:val="auto"/>
          <w:kern w:val="0"/>
          <w:sz w:val="32"/>
          <w:szCs w:val="32"/>
          <w:highlight w:val="none"/>
        </w:rPr>
        <w:t>万元，降低</w:t>
      </w:r>
      <w:r>
        <w:rPr>
          <w:rFonts w:hint="eastAsia" w:ascii="仿宋_GB2312" w:hAnsi="仿宋_GB2312" w:eastAsia="仿宋_GB2312" w:cs="仿宋_GB2312"/>
          <w:color w:val="auto"/>
          <w:kern w:val="0"/>
          <w:sz w:val="32"/>
          <w:szCs w:val="32"/>
          <w:highlight w:val="none"/>
          <w:lang w:val="en-US" w:eastAsia="zh-CN"/>
        </w:rPr>
        <w:t>8.73</w:t>
      </w:r>
      <w:r>
        <w:rPr>
          <w:rFonts w:hint="eastAsia" w:ascii="仿宋_GB2312" w:hAnsi="仿宋_GB2312" w:eastAsia="仿宋_GB2312" w:cs="仿宋_GB2312"/>
          <w:color w:val="auto"/>
          <w:kern w:val="0"/>
          <w:sz w:val="32"/>
          <w:szCs w:val="32"/>
          <w:highlight w:val="none"/>
        </w:rPr>
        <w:t>%，比上年决算数增加0.56万元，增长0.22%。主要原因是：办公费、差旅费、劳务费、公务用车运行维护费等支出增加。</w:t>
      </w:r>
    </w:p>
    <w:p w14:paraId="138DAFEF">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（二）政府采购支出情况说明。</w:t>
      </w:r>
    </w:p>
    <w:p w14:paraId="6B301F72">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本部门</w:t>
      </w:r>
      <w:r>
        <w:rPr>
          <w:rFonts w:hint="eastAsia" w:ascii="仿宋_GB2312" w:hAnsi="仿宋_GB2312" w:eastAsia="仿宋_GB2312" w:cs="仿宋_GB2312"/>
          <w:color w:val="auto"/>
          <w:kern w:val="0"/>
          <w:sz w:val="32"/>
          <w:szCs w:val="32"/>
          <w:lang w:eastAsia="zh-CN"/>
        </w:rPr>
        <w:t>2023年</w:t>
      </w:r>
      <w:r>
        <w:rPr>
          <w:rFonts w:hint="eastAsia" w:ascii="仿宋_GB2312" w:hAnsi="仿宋_GB2312" w:eastAsia="仿宋_GB2312" w:cs="仿宋_GB2312"/>
          <w:color w:val="auto"/>
          <w:kern w:val="0"/>
          <w:sz w:val="32"/>
          <w:szCs w:val="32"/>
        </w:rPr>
        <w:t>度政府采购支出总额</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591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43</w:t>
      </w:r>
      <w:r>
        <w:rPr>
          <w:rFonts w:hint="eastAsia" w:ascii="仿宋_GB2312" w:hAnsi="仿宋_GB2312" w:eastAsia="仿宋_GB2312" w:cs="仿宋_GB2312"/>
          <w:color w:val="auto"/>
          <w:kern w:val="0"/>
          <w:sz w:val="32"/>
          <w:szCs w:val="32"/>
        </w:rPr>
        <w:t>万元，其中：政府采购货物支出</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099.22</w:t>
      </w:r>
      <w:r>
        <w:rPr>
          <w:rFonts w:hint="eastAsia" w:ascii="仿宋_GB2312" w:hAnsi="仿宋_GB2312" w:eastAsia="仿宋_GB2312" w:cs="仿宋_GB2312"/>
          <w:color w:val="auto"/>
          <w:kern w:val="0"/>
          <w:sz w:val="32"/>
          <w:szCs w:val="32"/>
        </w:rPr>
        <w:t>万元、政府采购工程支出</w:t>
      </w:r>
      <w:r>
        <w:rPr>
          <w:rFonts w:hint="eastAsia" w:ascii="仿宋_GB2312" w:hAnsi="仿宋_GB2312" w:eastAsia="仿宋_GB2312" w:cs="仿宋_GB2312"/>
          <w:color w:val="auto"/>
          <w:kern w:val="0"/>
          <w:sz w:val="32"/>
          <w:szCs w:val="32"/>
          <w:lang w:val="en-US" w:eastAsia="zh-CN"/>
        </w:rPr>
        <w:t>4,724.14</w:t>
      </w:r>
      <w:r>
        <w:rPr>
          <w:rFonts w:hint="eastAsia" w:ascii="仿宋_GB2312" w:hAnsi="仿宋_GB2312" w:eastAsia="仿宋_GB2312" w:cs="仿宋_GB2312"/>
          <w:color w:val="auto"/>
          <w:kern w:val="0"/>
          <w:sz w:val="32"/>
          <w:szCs w:val="32"/>
        </w:rPr>
        <w:t>万元、政府采购服务支出3,</w:t>
      </w:r>
      <w:r>
        <w:rPr>
          <w:rFonts w:hint="eastAsia" w:ascii="仿宋_GB2312" w:hAnsi="仿宋_GB2312" w:eastAsia="仿宋_GB2312" w:cs="仿宋_GB2312"/>
          <w:color w:val="auto"/>
          <w:kern w:val="0"/>
          <w:sz w:val="32"/>
          <w:szCs w:val="32"/>
          <w:lang w:val="en-US" w:eastAsia="zh-CN"/>
        </w:rPr>
        <w:t>768.07</w:t>
      </w:r>
      <w:r>
        <w:rPr>
          <w:rFonts w:hint="eastAsia" w:ascii="仿宋_GB2312" w:hAnsi="仿宋_GB2312" w:eastAsia="仿宋_GB2312" w:cs="仿宋_GB2312"/>
          <w:color w:val="auto"/>
          <w:kern w:val="0"/>
          <w:sz w:val="32"/>
          <w:szCs w:val="32"/>
        </w:rPr>
        <w:t>万元。授予中小企业合同金额</w:t>
      </w:r>
      <w:r>
        <w:rPr>
          <w:rFonts w:hint="eastAsia" w:ascii="仿宋_GB2312" w:hAnsi="仿宋_GB2312" w:eastAsia="仿宋_GB2312" w:cs="仿宋_GB2312"/>
          <w:color w:val="auto"/>
          <w:kern w:val="0"/>
          <w:sz w:val="32"/>
          <w:szCs w:val="32"/>
          <w:lang w:val="en-US" w:eastAsia="zh-CN"/>
        </w:rPr>
        <w:t>8,400.43</w:t>
      </w:r>
      <w:r>
        <w:rPr>
          <w:rFonts w:hint="eastAsia" w:ascii="仿宋_GB2312" w:hAnsi="仿宋_GB2312" w:eastAsia="仿宋_GB2312" w:cs="仿宋_GB2312"/>
          <w:color w:val="auto"/>
          <w:kern w:val="0"/>
          <w:sz w:val="32"/>
          <w:szCs w:val="32"/>
        </w:rPr>
        <w:t>万元，占政府采购支出总额的</w:t>
      </w:r>
      <w:r>
        <w:rPr>
          <w:rFonts w:hint="eastAsia" w:ascii="仿宋_GB2312" w:hAnsi="仿宋_GB2312" w:eastAsia="仿宋_GB2312" w:cs="仿宋_GB2312"/>
          <w:color w:val="auto"/>
          <w:kern w:val="0"/>
          <w:sz w:val="32"/>
          <w:szCs w:val="32"/>
          <w:lang w:val="en-US" w:eastAsia="zh-CN"/>
        </w:rPr>
        <w:t>72.47</w:t>
      </w:r>
      <w:r>
        <w:rPr>
          <w:rFonts w:hint="eastAsia" w:ascii="仿宋_GB2312" w:hAnsi="仿宋_GB2312" w:eastAsia="仿宋_GB2312" w:cs="仿宋_GB2312"/>
          <w:color w:val="auto"/>
          <w:kern w:val="0"/>
          <w:sz w:val="32"/>
          <w:szCs w:val="32"/>
        </w:rPr>
        <w:t>%，其中：授予小微企业合同金额</w:t>
      </w:r>
      <w:r>
        <w:rPr>
          <w:rFonts w:hint="eastAsia" w:ascii="仿宋_GB2312" w:hAnsi="仿宋_GB2312" w:eastAsia="仿宋_GB2312" w:cs="仿宋_GB2312"/>
          <w:color w:val="auto"/>
          <w:kern w:val="0"/>
          <w:sz w:val="32"/>
          <w:szCs w:val="32"/>
          <w:lang w:val="en-US" w:eastAsia="zh-CN"/>
        </w:rPr>
        <w:t>2,833.01</w:t>
      </w:r>
      <w:r>
        <w:rPr>
          <w:rFonts w:hint="eastAsia" w:ascii="仿宋_GB2312" w:hAnsi="仿宋_GB2312" w:eastAsia="仿宋_GB2312" w:cs="仿宋_GB2312"/>
          <w:color w:val="auto"/>
          <w:kern w:val="0"/>
          <w:sz w:val="32"/>
          <w:szCs w:val="32"/>
        </w:rPr>
        <w:t>万元，占授予中小企业合同金额的</w:t>
      </w:r>
      <w:r>
        <w:rPr>
          <w:rFonts w:hint="eastAsia" w:ascii="仿宋_GB2312" w:hAnsi="仿宋_GB2312" w:eastAsia="仿宋_GB2312" w:cs="仿宋_GB2312"/>
          <w:color w:val="auto"/>
          <w:kern w:val="0"/>
          <w:sz w:val="32"/>
          <w:szCs w:val="32"/>
          <w:lang w:val="en-US" w:eastAsia="zh-CN"/>
        </w:rPr>
        <w:t>33.72</w:t>
      </w:r>
      <w:r>
        <w:rPr>
          <w:rFonts w:hint="eastAsia" w:ascii="仿宋_GB2312" w:hAnsi="仿宋_GB2312" w:eastAsia="仿宋_GB2312" w:cs="仿宋_GB2312"/>
          <w:color w:val="auto"/>
          <w:kern w:val="0"/>
          <w:sz w:val="32"/>
          <w:szCs w:val="32"/>
        </w:rPr>
        <w:t>%；货物采购授予中小企业合同金额占货物支出金额的61.92%；工程采购授予中小企业合同金额占工程支出金额的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%；服务采购授予中小企业合同金额占服务支出金额的55.86%。</w:t>
      </w:r>
    </w:p>
    <w:p w14:paraId="60187A57">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（三）国有资产占用情况说明。</w:t>
      </w:r>
    </w:p>
    <w:p w14:paraId="755E31EB">
      <w:pPr>
        <w:autoSpaceDE w:val="0"/>
        <w:autoSpaceDN w:val="0"/>
        <w:adjustRightInd w:val="0"/>
        <w:spacing w:line="560" w:lineRule="exact"/>
        <w:ind w:firstLine="640" w:firstLineChars="200"/>
        <w:rPr>
          <w:rFonts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none"/>
        </w:rPr>
        <w:t>截至</w:t>
      </w:r>
      <w:r>
        <w:rPr>
          <w:rFonts w:hint="eastAsia" w:ascii="仿宋_GB2312" w:hAnsi="仿宋_GB2312" w:eastAsia="仿宋_GB2312" w:cs="仿宋_GB2312"/>
          <w:color w:val="auto"/>
          <w:kern w:val="0"/>
          <w:sz w:val="32"/>
          <w:szCs w:val="32"/>
          <w:highlight w:val="none"/>
          <w:lang w:eastAsia="zh-CN"/>
        </w:rPr>
        <w:t>2023年</w:t>
      </w:r>
      <w:r>
        <w:rPr>
          <w:rFonts w:hint="eastAsia" w:ascii="仿宋_GB2312" w:hAnsi="仿宋_GB2312" w:eastAsia="仿宋_GB2312" w:cs="仿宋_GB2312"/>
          <w:color w:val="auto"/>
          <w:kern w:val="0"/>
          <w:sz w:val="32"/>
          <w:szCs w:val="32"/>
          <w:highlight w:val="none"/>
        </w:rPr>
        <w:t>12月31日，本部门共有车辆</w:t>
      </w:r>
      <w:r>
        <w:rPr>
          <w:rFonts w:hint="eastAsia" w:ascii="仿宋_GB2312" w:hAnsi="仿宋_GB2312" w:eastAsia="仿宋_GB2312" w:cs="仿宋_GB2312"/>
          <w:color w:val="auto"/>
          <w:kern w:val="0"/>
          <w:sz w:val="32"/>
          <w:szCs w:val="32"/>
          <w:highlight w:val="none"/>
          <w:lang w:val="en-US" w:eastAsia="zh-CN"/>
        </w:rPr>
        <w:t>133</w:t>
      </w:r>
      <w:r>
        <w:rPr>
          <w:rFonts w:hint="eastAsia" w:ascii="仿宋_GB2312" w:hAnsi="仿宋_GB2312" w:eastAsia="仿宋_GB2312" w:cs="仿宋_GB2312"/>
          <w:color w:val="auto"/>
          <w:kern w:val="0"/>
          <w:sz w:val="32"/>
          <w:szCs w:val="32"/>
          <w:highlight w:val="none"/>
        </w:rPr>
        <w:t>辆，其中：副部（省）级领导干部用车0辆、主要负责人用车</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辆、机要通信用车0辆、应急保障用车</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辆、执法执勤用车0辆、特种专业技术用车</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辆、其他用车12</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辆，其他用车主要是开展广播电视台站运行维护业务用车；单价100万元（含）以上设备（不含车辆）</w:t>
      </w:r>
      <w:r>
        <w:rPr>
          <w:rFonts w:hint="eastAsia" w:ascii="仿宋_GB2312" w:hAnsi="仿宋_GB2312" w:eastAsia="仿宋_GB2312" w:cs="仿宋_GB2312"/>
          <w:color w:val="auto"/>
          <w:kern w:val="0"/>
          <w:sz w:val="32"/>
          <w:szCs w:val="32"/>
          <w:highlight w:val="none"/>
          <w:lang w:val="en-US" w:eastAsia="zh-CN"/>
        </w:rPr>
        <w:t>24套</w:t>
      </w:r>
      <w:r>
        <w:rPr>
          <w:rFonts w:hint="eastAsia" w:ascii="仿宋_GB2312" w:hAnsi="仿宋_GB2312" w:eastAsia="仿宋_GB2312" w:cs="仿宋_GB2312"/>
          <w:color w:val="auto"/>
          <w:kern w:val="0"/>
          <w:sz w:val="32"/>
          <w:szCs w:val="32"/>
          <w:highlight w:val="none"/>
        </w:rPr>
        <w:t>。</w:t>
      </w:r>
    </w:p>
    <w:p w14:paraId="798D14AE">
      <w:pPr>
        <w:autoSpaceDE w:val="0"/>
        <w:autoSpaceDN w:val="0"/>
        <w:adjustRightInd w:val="0"/>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八</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预算绩效管理工作开展情况。</w:t>
      </w:r>
    </w:p>
    <w:p w14:paraId="276E6AED">
      <w:pPr>
        <w:autoSpaceDE w:val="0"/>
        <w:autoSpaceDN w:val="0"/>
        <w:adjustRightInd w:val="0"/>
        <w:spacing w:line="560" w:lineRule="exact"/>
        <w:ind w:firstLine="640" w:firstLineChars="200"/>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1.</w:t>
      </w:r>
      <w:r>
        <w:rPr>
          <w:rFonts w:hint="eastAsia" w:ascii="仿宋_GB2312" w:hAnsi="Times New Roman" w:eastAsia="仿宋_GB2312" w:cs="仿宋_GB2312"/>
          <w:color w:val="auto"/>
          <w:kern w:val="0"/>
          <w:sz w:val="32"/>
          <w:szCs w:val="32"/>
          <w:lang w:eastAsia="zh-CN"/>
        </w:rPr>
        <w:t>整体支出</w:t>
      </w:r>
      <w:r>
        <w:rPr>
          <w:rFonts w:hint="eastAsia" w:ascii="仿宋_GB2312" w:hAnsi="Times New Roman" w:eastAsia="仿宋_GB2312" w:cs="仿宋_GB2312"/>
          <w:color w:val="auto"/>
          <w:kern w:val="0"/>
          <w:sz w:val="32"/>
          <w:szCs w:val="32"/>
        </w:rPr>
        <w:t>绩效</w:t>
      </w:r>
      <w:r>
        <w:rPr>
          <w:rFonts w:hint="eastAsia" w:ascii="仿宋_GB2312" w:hAnsi="Times New Roman" w:eastAsia="仿宋_GB2312" w:cs="仿宋_GB2312"/>
          <w:color w:val="auto"/>
          <w:kern w:val="0"/>
          <w:sz w:val="32"/>
          <w:szCs w:val="32"/>
          <w:lang w:eastAsia="zh-CN"/>
        </w:rPr>
        <w:t>自评结果</w:t>
      </w:r>
      <w:r>
        <w:rPr>
          <w:rFonts w:hint="eastAsia" w:ascii="仿宋_GB2312" w:hAnsi="Times New Roman" w:eastAsia="仿宋_GB2312" w:cs="仿宋_GB2312"/>
          <w:color w:val="auto"/>
          <w:kern w:val="0"/>
          <w:sz w:val="32"/>
          <w:szCs w:val="32"/>
        </w:rPr>
        <w:t>。</w:t>
      </w:r>
    </w:p>
    <w:p w14:paraId="40215513">
      <w:pPr>
        <w:spacing w:line="560" w:lineRule="exact"/>
        <w:ind w:firstLine="640" w:firstLineChars="200"/>
        <w:rPr>
          <w:rFonts w:hint="eastAsia" w:ascii="仿宋_GB2312" w:hAnsi="Times New Roman" w:eastAsia="仿宋_GB2312" w:cs="仿宋_GB2312"/>
          <w:color w:val="auto"/>
          <w:kern w:val="0"/>
          <w:sz w:val="32"/>
          <w:szCs w:val="32"/>
          <w:highlight w:val="yellow"/>
        </w:rPr>
      </w:pPr>
      <w:r>
        <w:rPr>
          <w:rFonts w:hint="eastAsia" w:ascii="仿宋_GB2312" w:eastAsia="仿宋_GB2312" w:cs="仿宋_GB2312"/>
          <w:b w:val="0"/>
          <w:bCs w:val="0"/>
          <w:caps w:val="0"/>
          <w:color w:val="auto"/>
          <w:kern w:val="0"/>
          <w:sz w:val="32"/>
          <w:szCs w:val="32"/>
          <w:highlight w:val="none"/>
          <w:vertAlign w:val="baseline"/>
          <w:lang w:val="en-US" w:eastAsia="zh-CN" w:bidi="ar"/>
        </w:rPr>
        <w:t>我部门</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2023年度</w:t>
      </w:r>
      <w:r>
        <w:rPr>
          <w:rFonts w:hint="eastAsia" w:ascii="仿宋_GB2312" w:eastAsia="仿宋_GB2312" w:cs="仿宋_GB2312"/>
          <w:b w:val="0"/>
          <w:bCs w:val="0"/>
          <w:caps w:val="0"/>
          <w:color w:val="auto"/>
          <w:kern w:val="0"/>
          <w:sz w:val="32"/>
          <w:szCs w:val="32"/>
          <w:highlight w:val="none"/>
          <w:vertAlign w:val="baseline"/>
          <w:lang w:val="en-US" w:eastAsia="zh-CN" w:bidi="ar"/>
        </w:rPr>
        <w:t>部门</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预算数</w:t>
      </w:r>
      <w:r>
        <w:rPr>
          <w:rFonts w:hint="eastAsia" w:ascii="仿宋_GB2312" w:eastAsia="仿宋_GB2312" w:cs="仿宋_GB2312"/>
          <w:color w:val="auto"/>
          <w:kern w:val="0"/>
          <w:sz w:val="32"/>
          <w:szCs w:val="32"/>
          <w:highlight w:val="none"/>
          <w:lang w:val="en-US" w:eastAsia="zh-CN"/>
        </w:rPr>
        <w:t>59,279.82万元</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万元，执行数</w:t>
      </w:r>
      <w:r>
        <w:rPr>
          <w:rFonts w:hint="eastAsia" w:ascii="仿宋_GB2312" w:eastAsia="仿宋_GB2312" w:cs="仿宋_GB2312"/>
          <w:color w:val="auto"/>
          <w:kern w:val="0"/>
          <w:sz w:val="32"/>
          <w:szCs w:val="32"/>
          <w:highlight w:val="none"/>
          <w:lang w:val="en-US" w:eastAsia="zh-CN"/>
        </w:rPr>
        <w:t>56,420.78万元</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万元。整体支出绩效自评结果为一等，自评得分92.10分</w:t>
      </w:r>
      <w:r>
        <w:rPr>
          <w:rFonts w:hint="eastAsia" w:ascii="仿宋_GB2312" w:hAnsi="Times New Roman" w:eastAsia="仿宋_GB2312" w:cs="仿宋_GB2312"/>
          <w:b w:val="0"/>
          <w:bCs w:val="0"/>
          <w:caps w:val="0"/>
          <w:color w:val="auto"/>
          <w:kern w:val="0"/>
          <w:sz w:val="32"/>
          <w:szCs w:val="32"/>
          <w:vertAlign w:val="baseline"/>
          <w:lang w:val="en-US" w:eastAsia="zh-CN" w:bidi="ar"/>
        </w:rPr>
        <w:t>。其中预算执行得分9.02分，指标值得分83.08分。我局2023年度部门整体支出绩效较好，设定的各项绩效指标完成较好，较好地完成了年初预算计划的各项工作，履行了部门各项职责，达到了预算所设立的主要目标。</w:t>
      </w:r>
      <w:r>
        <w:rPr>
          <w:rFonts w:hint="eastAsia" w:ascii="Times New Roman" w:hAnsi="Times New Roman" w:eastAsia="仿宋" w:cs="Times New Roman"/>
          <w:color w:val="auto"/>
          <w:sz w:val="32"/>
          <w:szCs w:val="32"/>
          <w:highlight w:val="none"/>
        </w:rPr>
        <w:t>202</w:t>
      </w:r>
      <w:r>
        <w:rPr>
          <w:rFonts w:hint="eastAsia"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rPr>
        <w:t>年我局部门整体支出年度绩效目标设立了开展</w:t>
      </w:r>
      <w:r>
        <w:rPr>
          <w:rFonts w:hint="eastAsia" w:ascii="Times New Roman" w:hAnsi="Times New Roman" w:eastAsia="仿宋" w:cs="Times New Roman"/>
          <w:color w:val="auto"/>
          <w:sz w:val="32"/>
          <w:szCs w:val="32"/>
          <w:highlight w:val="none"/>
          <w:lang w:val="en-US" w:eastAsia="zh-CN"/>
        </w:rPr>
        <w:t>党的</w:t>
      </w:r>
      <w:r>
        <w:rPr>
          <w:rFonts w:hint="eastAsia" w:ascii="Times New Roman" w:hAnsi="Times New Roman" w:eastAsia="仿宋" w:cs="Times New Roman"/>
          <w:color w:val="auto"/>
          <w:sz w:val="32"/>
          <w:szCs w:val="32"/>
          <w:highlight w:val="none"/>
        </w:rPr>
        <w:t>二十大宣传大赛活动等2</w:t>
      </w:r>
      <w:r>
        <w:rPr>
          <w:rFonts w:hint="eastAsia"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rPr>
        <w:t>条衡量指标，</w:t>
      </w:r>
      <w:r>
        <w:rPr>
          <w:rFonts w:hint="eastAsia" w:ascii="Times New Roman" w:hAnsi="Times New Roman" w:eastAsia="仿宋" w:cs="Times New Roman"/>
          <w:color w:val="auto"/>
          <w:sz w:val="32"/>
          <w:szCs w:val="32"/>
          <w:highlight w:val="none"/>
          <w:lang w:val="en-US" w:eastAsia="zh-CN"/>
        </w:rPr>
        <w:t>19</w:t>
      </w:r>
      <w:r>
        <w:rPr>
          <w:rFonts w:hint="eastAsia" w:ascii="Times New Roman" w:hAnsi="Times New Roman" w:eastAsia="仿宋" w:cs="Times New Roman"/>
          <w:color w:val="auto"/>
          <w:sz w:val="32"/>
          <w:szCs w:val="32"/>
          <w:highlight w:val="none"/>
        </w:rPr>
        <w:t>条指标年度任务完成率达到100%</w:t>
      </w:r>
      <w:r>
        <w:rPr>
          <w:rFonts w:hint="eastAsia" w:ascii="Times New Roman" w:hAnsi="Times New Roman" w:eastAsia="仿宋" w:cs="Times New Roman"/>
          <w:color w:val="auto"/>
          <w:sz w:val="32"/>
          <w:szCs w:val="32"/>
          <w:highlight w:val="none"/>
          <w:lang w:eastAsia="zh-CN"/>
        </w:rPr>
        <w:t>以上</w:t>
      </w:r>
      <w:r>
        <w:rPr>
          <w:rFonts w:hint="eastAsia" w:ascii="Times New Roman" w:hAnsi="Times New Roman" w:eastAsia="仿宋" w:cs="Times New Roman"/>
          <w:color w:val="auto"/>
          <w:sz w:val="32"/>
          <w:szCs w:val="32"/>
          <w:highlight w:val="none"/>
        </w:rPr>
        <w:t>，占比</w:t>
      </w:r>
      <w:r>
        <w:rPr>
          <w:rFonts w:hint="eastAsia" w:ascii="Times New Roman" w:hAnsi="Times New Roman" w:eastAsia="仿宋" w:cs="Times New Roman"/>
          <w:color w:val="auto"/>
          <w:sz w:val="32"/>
          <w:szCs w:val="32"/>
          <w:highlight w:val="none"/>
          <w:lang w:val="en-US" w:eastAsia="zh-CN"/>
        </w:rPr>
        <w:t>79.17</w:t>
      </w:r>
      <w:r>
        <w:rPr>
          <w:rFonts w:hint="eastAsia"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5</w:t>
      </w:r>
      <w:r>
        <w:rPr>
          <w:rFonts w:hint="eastAsia" w:ascii="Times New Roman" w:hAnsi="Times New Roman" w:eastAsia="仿宋" w:cs="Times New Roman"/>
          <w:color w:val="auto"/>
          <w:sz w:val="32"/>
          <w:szCs w:val="32"/>
          <w:highlight w:val="none"/>
        </w:rPr>
        <w:t>条指标年度任务完成率</w:t>
      </w:r>
      <w:r>
        <w:rPr>
          <w:rFonts w:hint="eastAsia" w:ascii="Times New Roman" w:hAnsi="Times New Roman" w:eastAsia="仿宋" w:cs="Times New Roman"/>
          <w:color w:val="auto"/>
          <w:sz w:val="32"/>
          <w:szCs w:val="32"/>
          <w:highlight w:val="none"/>
          <w:lang w:eastAsia="zh-CN"/>
        </w:rPr>
        <w:t>未</w:t>
      </w:r>
      <w:r>
        <w:rPr>
          <w:rFonts w:hint="eastAsia" w:ascii="Times New Roman" w:hAnsi="Times New Roman" w:eastAsia="仿宋" w:cs="Times New Roman"/>
          <w:color w:val="auto"/>
          <w:sz w:val="32"/>
          <w:szCs w:val="32"/>
          <w:highlight w:val="none"/>
        </w:rPr>
        <w:t>达到100%</w:t>
      </w:r>
      <w:r>
        <w:rPr>
          <w:rFonts w:hint="eastAsia" w:ascii="Times New Roman" w:hAnsi="Times New Roman" w:eastAsia="仿宋" w:cs="Times New Roman"/>
          <w:color w:val="auto"/>
          <w:sz w:val="32"/>
          <w:szCs w:val="32"/>
          <w:highlight w:val="none"/>
          <w:lang w:val="en-US" w:eastAsia="zh-CN"/>
        </w:rPr>
        <w:t>被扣分。</w:t>
      </w:r>
      <w:r>
        <w:rPr>
          <w:rFonts w:hint="eastAsia" w:ascii="Times New Roman" w:hAnsi="Times New Roman" w:eastAsia="仿宋" w:cs="Times New Roman"/>
          <w:color w:val="auto"/>
          <w:sz w:val="32"/>
          <w:szCs w:val="32"/>
          <w:highlight w:val="none"/>
        </w:rPr>
        <w:t>未能完成年度目标任务的指标主要有</w:t>
      </w:r>
      <w:r>
        <w:rPr>
          <w:rFonts w:hint="eastAsia" w:ascii="Times New Roman" w:hAnsi="Times New Roman" w:eastAsia="仿宋" w:cs="Times New Roman"/>
          <w:color w:val="auto"/>
          <w:sz w:val="32"/>
          <w:szCs w:val="32"/>
          <w:highlight w:val="none"/>
          <w:lang w:val="en-US" w:eastAsia="zh-CN"/>
        </w:rPr>
        <w:t>以下</w:t>
      </w:r>
      <w:r>
        <w:rPr>
          <w:rFonts w:hint="eastAsia" w:ascii="Times New Roman" w:hAnsi="Times New Roman" w:eastAsia="仿宋" w:cs="Times New Roman"/>
          <w:color w:val="auto"/>
          <w:sz w:val="32"/>
          <w:szCs w:val="32"/>
          <w:highlight w:val="none"/>
        </w:rPr>
        <w:t>原因：</w:t>
      </w:r>
      <w:r>
        <w:rPr>
          <w:rFonts w:hint="eastAsia" w:ascii="Times New Roman" w:hAnsi="Times New Roman" w:eastAsia="仿宋" w:cs="Times New Roman"/>
          <w:color w:val="auto"/>
          <w:sz w:val="32"/>
          <w:szCs w:val="32"/>
          <w:highlight w:val="none"/>
          <w:lang w:val="en-US" w:eastAsia="zh-CN"/>
        </w:rPr>
        <w:t>一是</w:t>
      </w:r>
      <w:bookmarkStart w:id="0" w:name="_GoBack"/>
      <w:bookmarkEnd w:id="0"/>
      <w:r>
        <w:rPr>
          <w:rFonts w:hint="eastAsia" w:ascii="Times New Roman" w:hAnsi="Times New Roman" w:eastAsia="仿宋" w:cs="Times New Roman"/>
          <w:color w:val="auto"/>
          <w:sz w:val="32"/>
          <w:szCs w:val="32"/>
          <w:highlight w:val="none"/>
          <w:lang w:val="en-US" w:eastAsia="zh-CN"/>
        </w:rPr>
        <w:t>年初设置指标有误，未能根据预算年度的项目绩效目标来设置绩效指标。2023年没有建设市级云平台，但部门整体支出年度绩效目标设置了“建设市级云平台数量”指标和“云平台验收合格率”质量指标；二是工作疏忽，同一个项目的质量指标，出现重复设置。质量指标中“优秀网络视听节目内容生产与扶持作品推荐率100%”指标设置了两次；三是个别项目落实资金和政采流程较长，造成时间滞后，未能在年度内完成工作；四是年初指标设置偏差较大，未根据年中调整预算及时修改绩效表。改进措施：下一步将贴合实际合理科学设定绩效目标，将全方位考虑项目实施过程中会出现的实际情况，加大项目的监管力度，积极推进项目进程，及时调整项目目标或指标，使绩效管理更趋科学合理，提高预算执行效率。</w:t>
      </w:r>
    </w:p>
    <w:p w14:paraId="45FD473C">
      <w:pPr>
        <w:autoSpaceDE w:val="0"/>
        <w:autoSpaceDN w:val="0"/>
        <w:adjustRightInd w:val="0"/>
        <w:spacing w:line="560" w:lineRule="exact"/>
        <w:ind w:firstLine="640" w:firstLineChars="200"/>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2.项目绩效自评结果。</w:t>
      </w:r>
    </w:p>
    <w:p w14:paraId="271BD217">
      <w:pPr>
        <w:autoSpaceDE w:val="0"/>
        <w:autoSpaceDN w:val="0"/>
        <w:adjustRightInd w:val="0"/>
        <w:spacing w:line="560" w:lineRule="exact"/>
        <w:ind w:firstLine="640" w:firstLineChars="200"/>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（1）项目绩效自评总体情况：我部门2023年度项目</w:t>
      </w:r>
      <w:r>
        <w:rPr>
          <w:rFonts w:hint="eastAsia" w:ascii="仿宋_GB2312" w:hAnsi="Times New Roman" w:eastAsia="仿宋_GB2312" w:cs="仿宋_GB2312"/>
          <w:color w:val="auto"/>
          <w:kern w:val="0"/>
          <w:sz w:val="32"/>
          <w:szCs w:val="32"/>
          <w:lang w:val="en-US" w:eastAsia="zh-CN"/>
        </w:rPr>
        <w:t>375</w:t>
      </w:r>
      <w:r>
        <w:rPr>
          <w:rFonts w:hint="eastAsia" w:ascii="仿宋_GB2312" w:hAnsi="Times New Roman" w:eastAsia="仿宋_GB2312" w:cs="仿宋_GB2312"/>
          <w:color w:val="auto"/>
          <w:kern w:val="0"/>
          <w:sz w:val="32"/>
          <w:szCs w:val="32"/>
        </w:rPr>
        <w:t>个，项目支出总额44,596.13万元。其中，本级项目</w:t>
      </w:r>
      <w:r>
        <w:rPr>
          <w:rFonts w:hint="eastAsia" w:ascii="仿宋_GB2312" w:hAnsi="Times New Roman" w:eastAsia="仿宋_GB2312" w:cs="仿宋_GB2312"/>
          <w:color w:val="auto"/>
          <w:kern w:val="0"/>
          <w:sz w:val="32"/>
          <w:szCs w:val="32"/>
          <w:lang w:val="en-US" w:eastAsia="zh-CN"/>
        </w:rPr>
        <w:t>56</w:t>
      </w:r>
      <w:r>
        <w:rPr>
          <w:rFonts w:hint="eastAsia" w:ascii="仿宋_GB2312" w:hAnsi="Times New Roman" w:eastAsia="仿宋_GB2312" w:cs="仿宋_GB2312"/>
          <w:color w:val="auto"/>
          <w:kern w:val="0"/>
          <w:sz w:val="32"/>
          <w:szCs w:val="32"/>
        </w:rPr>
        <w:t>个，本级项目支出16,485.23万元；对下转移支付项目</w:t>
      </w:r>
      <w:r>
        <w:rPr>
          <w:rFonts w:hint="eastAsia" w:ascii="仿宋_GB2312" w:hAnsi="Times New Roman" w:eastAsia="仿宋_GB2312" w:cs="仿宋_GB2312"/>
          <w:color w:val="auto"/>
          <w:kern w:val="0"/>
          <w:sz w:val="32"/>
          <w:szCs w:val="32"/>
          <w:lang w:val="en-US" w:eastAsia="zh-CN"/>
        </w:rPr>
        <w:t>7</w:t>
      </w:r>
      <w:r>
        <w:rPr>
          <w:rFonts w:hint="eastAsia" w:ascii="仿宋_GB2312" w:hAnsi="Times New Roman" w:eastAsia="仿宋_GB2312" w:cs="仿宋_GB2312"/>
          <w:color w:val="auto"/>
          <w:kern w:val="0"/>
          <w:sz w:val="32"/>
          <w:szCs w:val="32"/>
        </w:rPr>
        <w:t>个，对下转移支付</w:t>
      </w:r>
      <w:r>
        <w:rPr>
          <w:rFonts w:hint="eastAsia" w:ascii="仿宋_GB2312" w:hAnsi="Times New Roman" w:eastAsia="仿宋_GB2312" w:cs="仿宋_GB2312"/>
          <w:color w:val="auto"/>
          <w:kern w:val="0"/>
          <w:sz w:val="32"/>
          <w:szCs w:val="32"/>
          <w:lang w:val="en-US" w:eastAsia="zh-CN"/>
        </w:rPr>
        <w:t>8,206.75</w:t>
      </w:r>
      <w:r>
        <w:rPr>
          <w:rFonts w:hint="eastAsia" w:ascii="仿宋_GB2312" w:hAnsi="Times New Roman" w:eastAsia="仿宋_GB2312" w:cs="仿宋_GB2312"/>
          <w:color w:val="auto"/>
          <w:kern w:val="0"/>
          <w:sz w:val="32"/>
          <w:szCs w:val="32"/>
        </w:rPr>
        <w:t>万元。项目中，敏感涉密项目14个，涉及资金</w:t>
      </w:r>
      <w:r>
        <w:rPr>
          <w:rFonts w:hint="eastAsia" w:ascii="仿宋_GB2312" w:hAnsi="Times New Roman" w:eastAsia="仿宋_GB2312" w:cs="仿宋_GB2312"/>
          <w:color w:val="auto"/>
          <w:kern w:val="0"/>
          <w:sz w:val="32"/>
          <w:szCs w:val="32"/>
          <w:lang w:val="en-US" w:eastAsia="zh-CN"/>
        </w:rPr>
        <w:t>3,386</w:t>
      </w:r>
      <w:r>
        <w:rPr>
          <w:rFonts w:hint="eastAsia" w:ascii="仿宋_GB2312" w:hAnsi="Times New Roman" w:eastAsia="仿宋_GB2312" w:cs="仿宋_GB2312"/>
          <w:color w:val="auto"/>
          <w:kern w:val="0"/>
          <w:sz w:val="32"/>
          <w:szCs w:val="32"/>
        </w:rPr>
        <w:t>万元。</w:t>
      </w:r>
    </w:p>
    <w:p w14:paraId="1B21221F">
      <w:pPr>
        <w:autoSpaceDE w:val="0"/>
        <w:autoSpaceDN w:val="0"/>
        <w:adjustRightInd w:val="0"/>
        <w:spacing w:line="560" w:lineRule="exact"/>
        <w:ind w:firstLine="640" w:firstLineChars="200"/>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所有项目均开展了绩效自评，其中非敏感涉密项目绩效自评结果为：326个项目评为一等，涉及资金</w:t>
      </w:r>
      <w:r>
        <w:rPr>
          <w:rFonts w:hint="eastAsia" w:ascii="仿宋_GB2312" w:hAnsi="Times New Roman" w:eastAsia="仿宋_GB2312" w:cs="仿宋_GB2312"/>
          <w:color w:val="auto"/>
          <w:kern w:val="0"/>
          <w:sz w:val="32"/>
          <w:szCs w:val="32"/>
          <w:lang w:val="en-US" w:eastAsia="zh-CN"/>
        </w:rPr>
        <w:t xml:space="preserve">36,781.13 </w:t>
      </w:r>
      <w:r>
        <w:rPr>
          <w:rFonts w:hint="eastAsia" w:ascii="仿宋_GB2312" w:hAnsi="Times New Roman" w:eastAsia="仿宋_GB2312" w:cs="仿宋_GB2312"/>
          <w:color w:val="auto"/>
          <w:kern w:val="0"/>
          <w:sz w:val="32"/>
          <w:szCs w:val="32"/>
        </w:rPr>
        <w:t>万元，占项目总数比例86.93%，占项目支出总额比例82.48%；</w:t>
      </w:r>
      <w:r>
        <w:rPr>
          <w:rFonts w:hint="eastAsia" w:ascii="仿宋_GB2312" w:hAnsi="Times New Roman" w:eastAsia="仿宋_GB2312" w:cs="仿宋_GB2312"/>
          <w:color w:val="auto"/>
          <w:kern w:val="0"/>
          <w:sz w:val="32"/>
          <w:szCs w:val="32"/>
          <w:lang w:val="en-US" w:eastAsia="zh-CN"/>
        </w:rPr>
        <w:t>28</w:t>
      </w:r>
      <w:r>
        <w:rPr>
          <w:rFonts w:hint="eastAsia" w:ascii="仿宋_GB2312" w:hAnsi="Times New Roman" w:eastAsia="仿宋_GB2312" w:cs="仿宋_GB2312"/>
          <w:color w:val="auto"/>
          <w:kern w:val="0"/>
          <w:sz w:val="32"/>
          <w:szCs w:val="32"/>
        </w:rPr>
        <w:t>个项目评为二等，涉及资金1,933.18 万元，占项目总数比例7.47%，占项目支出总额比例4.33%；</w:t>
      </w:r>
      <w:r>
        <w:rPr>
          <w:rFonts w:hint="eastAsia" w:ascii="仿宋_GB2312" w:hAnsi="Times New Roman" w:eastAsia="仿宋_GB2312" w:cs="仿宋_GB2312"/>
          <w:color w:val="auto"/>
          <w:kern w:val="0"/>
          <w:sz w:val="32"/>
          <w:szCs w:val="32"/>
          <w:lang w:val="en-US" w:eastAsia="zh-CN"/>
        </w:rPr>
        <w:t>4</w:t>
      </w:r>
      <w:r>
        <w:rPr>
          <w:rFonts w:hint="eastAsia" w:ascii="仿宋_GB2312" w:hAnsi="Times New Roman" w:eastAsia="仿宋_GB2312" w:cs="仿宋_GB2312"/>
          <w:color w:val="auto"/>
          <w:kern w:val="0"/>
          <w:sz w:val="32"/>
          <w:szCs w:val="32"/>
        </w:rPr>
        <w:t>个项目评为三等，涉及资金2,427.75 万元，占项目总数比例1.07%，占项目支出总额比例5.44%；</w:t>
      </w:r>
      <w:r>
        <w:rPr>
          <w:rFonts w:hint="eastAsia" w:ascii="仿宋_GB2312" w:hAnsi="Times New Roman" w:eastAsia="仿宋_GB2312" w:cs="仿宋_GB2312"/>
          <w:color w:val="auto"/>
          <w:kern w:val="0"/>
          <w:sz w:val="32"/>
          <w:szCs w:val="32"/>
          <w:lang w:val="en-US" w:eastAsia="zh-CN"/>
        </w:rPr>
        <w:t>3</w:t>
      </w:r>
      <w:r>
        <w:rPr>
          <w:rFonts w:hint="eastAsia" w:ascii="仿宋_GB2312" w:hAnsi="Times New Roman" w:eastAsia="仿宋_GB2312" w:cs="仿宋_GB2312"/>
          <w:color w:val="auto"/>
          <w:kern w:val="0"/>
          <w:sz w:val="32"/>
          <w:szCs w:val="32"/>
        </w:rPr>
        <w:t>个项目评为四等，涉及资金68.07 万元，占项目总数比例0.80%，占项目支出总额比例0.15%。自评发现的主要问题及原因：一是还需加强对局直属单位项目的管理。此次自评“三等”“四等”的项目中直属单位具体实施项目7个，占比1.87%。主要原因一前期准备工作准备不足，项目实施效果较差，如广西广播电视学校实施的“广西传媒职业技术学院建设经费”项目，由于该项目因建设地址和规模等参数有变化，项目建议书仍在编制修改中，影响绩效自评；二受市场环境、工作岗位要求和薪资水平等影响，未能按计划完成招聘，如广西广播电视技术中心防城港分中心实施的“劳务派遣经费”项目，因受市场环境以及薪资水平等影响，招聘完成率为50%，且未及时申请预算调整，导致偏离指标值。三是部分项目资金支付进度滞后，项目预算执行监管力度还有待加强。项目预算执行率低于60%的项目有18个，占比达到4.8%；四是预算绩效管理工作流程还需要进一步理顺。主要表现为绩效目标申报还是依赖于财务处室，部分业务处室和单位对绩效管理工作不够重视，指标内容与指标值填写随意，导致无法自评。</w:t>
      </w:r>
    </w:p>
    <w:p w14:paraId="03AA2AE1">
      <w:pPr>
        <w:autoSpaceDE w:val="0"/>
        <w:autoSpaceDN w:val="0"/>
        <w:adjustRightInd w:val="0"/>
        <w:spacing w:line="560" w:lineRule="exact"/>
        <w:ind w:firstLine="640" w:firstLineChars="200"/>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下一步改进措施：一是优化项目安排流程，加强对市县和直属单位的指导。今后将严格基建类项目的管理，此类项目在资金分配前，要求实施单位填报前期工作完成情况，不具备实施条件的项目暂缓安排预算；二是建立工作台账，加快资金支付。今后将定期召开预算执行通报会，加强沟通，形成工作合力，加快资金支付；三是根据绩效自评情况，不断补充完善绩效评级指标，全面真实反映部门绩效水平；绩效指标应体现定性与定量相结合，注重绩效指标量化考核，同时对难以实现量化的指标进行定性考核，使绩效管理更趋科学合理科学细化编制预算，提高预算执行率，保证资金高效使用；四是加强培训和指导，提高预算绩效管理能力。今后将继续举办系统内部的预算绩效管理业务培训班，强化绩效管理理念，提高项目管理人员的绩效业务能力，解决绩效目标和绩效指标内容不科学、不完整问题；改变“绩效=财务人员”的错误观念。</w:t>
      </w:r>
    </w:p>
    <w:p w14:paraId="730C9BEE">
      <w:pPr>
        <w:autoSpaceDE w:val="0"/>
        <w:autoSpaceDN w:val="0"/>
        <w:adjustRightInd w:val="0"/>
        <w:spacing w:line="560" w:lineRule="exact"/>
        <w:ind w:firstLine="640" w:firstLineChars="200"/>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（2）部分重点项目绩效自评情况。</w:t>
      </w:r>
    </w:p>
    <w:p w14:paraId="39FECFE7">
      <w:pPr>
        <w:autoSpaceDE w:val="0"/>
        <w:autoSpaceDN w:val="0"/>
        <w:adjustRightInd w:val="0"/>
        <w:spacing w:line="560" w:lineRule="exact"/>
        <w:ind w:firstLine="640" w:firstLineChars="200"/>
        <w:rPr>
          <w:rFonts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我单位重点对“广西本地节目地面数字电视节目覆盖网建设项目(</w:t>
      </w:r>
      <w:r>
        <w:rPr>
          <w:rFonts w:hint="eastAsia" w:ascii="仿宋_GB2312" w:hAnsi="Times New Roman" w:eastAsia="仿宋_GB2312" w:cs="仿宋_GB2312"/>
          <w:color w:val="auto"/>
          <w:kern w:val="0"/>
          <w:sz w:val="32"/>
          <w:szCs w:val="32"/>
          <w:lang w:eastAsia="zh-CN"/>
        </w:rPr>
        <w:t>2023年二</w:t>
      </w:r>
      <w:r>
        <w:rPr>
          <w:rFonts w:hint="eastAsia" w:ascii="仿宋_GB2312" w:hAnsi="Times New Roman" w:eastAsia="仿宋_GB2312" w:cs="仿宋_GB2312"/>
          <w:color w:val="auto"/>
          <w:kern w:val="0"/>
          <w:sz w:val="32"/>
          <w:szCs w:val="32"/>
        </w:rPr>
        <w:t>期工程)”进行了评价，涉及一般公共预算支出</w:t>
      </w:r>
      <w:r>
        <w:rPr>
          <w:rFonts w:ascii="仿宋_GB2312" w:hAnsi="Times New Roman" w:eastAsia="仿宋_GB2312" w:cs="仿宋_GB2312"/>
          <w:color w:val="auto"/>
          <w:kern w:val="0"/>
          <w:sz w:val="32"/>
          <w:szCs w:val="32"/>
        </w:rPr>
        <w:t>2,000</w:t>
      </w:r>
      <w:r>
        <w:rPr>
          <w:rFonts w:hint="eastAsia" w:ascii="仿宋_GB2312" w:hAnsi="Times New Roman" w:eastAsia="仿宋_GB2312" w:cs="仿宋_GB2312"/>
          <w:color w:val="auto"/>
          <w:kern w:val="0"/>
          <w:sz w:val="32"/>
          <w:szCs w:val="32"/>
        </w:rPr>
        <w:t>万元，政府性基金预算支出0万元，国有资本经营预算支出0万元，其他资金0万元。</w:t>
      </w:r>
    </w:p>
    <w:p w14:paraId="48C6A399">
      <w:pPr>
        <w:autoSpaceDE w:val="0"/>
        <w:autoSpaceDN w:val="0"/>
        <w:adjustRightInd w:val="0"/>
        <w:spacing w:line="560" w:lineRule="exact"/>
        <w:ind w:firstLine="640" w:firstLineChars="200"/>
        <w:rPr>
          <w:rFonts w:hint="eastAsia" w:ascii="仿宋_GB2312" w:hAnsi="Times New Roman" w:eastAsia="仿宋_GB2312" w:cs="仿宋_GB2312"/>
          <w:kern w:val="0"/>
          <w:sz w:val="32"/>
          <w:szCs w:val="32"/>
        </w:rPr>
      </w:pPr>
      <w:r>
        <w:rPr>
          <w:rFonts w:hint="eastAsia" w:ascii="仿宋_GB2312" w:hAnsi="Times New Roman" w:eastAsia="仿宋_GB2312" w:cs="仿宋_GB2312"/>
          <w:color w:val="auto"/>
          <w:kern w:val="0"/>
          <w:sz w:val="32"/>
          <w:szCs w:val="32"/>
        </w:rPr>
        <w:t>根据年初设定的绩效目标，广西本地节目地面数字电视覆盖网建设项目（2023年二期工程）自评得分</w:t>
      </w:r>
      <w:r>
        <w:rPr>
          <w:rFonts w:hint="eastAsia" w:ascii="仿宋_GB2312" w:hAnsi="Times New Roman" w:eastAsia="仿宋_GB2312" w:cs="仿宋_GB2312"/>
          <w:kern w:val="0"/>
          <w:sz w:val="32"/>
          <w:szCs w:val="32"/>
        </w:rPr>
        <w:t>为97.53分，项目自评等级为一级，项目全年预算数为2,000万元，执行数为1,871.81万元，完成预算的93.59%。项目绩效目标完成情况：截至2023年12月，已完成296座台站建设，实现所有市、县城区及部分乡镇地面数字电视节目覆盖，各市、县群众可免费收看4套广西区、市、县本地电视节目，进一步提升了人民群众对无线广播电视公共服务的获得感、幸福感和认同感。台站可长期为各市、县群众持续提供4套免费的广西区、市、县本地电视节目，确保了广西本地地面数字电视节目持续覆盖。自评发现的主要问题及原因：2023年二期工程总预算2,000万元，其中执行预算1,871.81万元，结转资金128.19万元，预算执行率为94%。主要原因为第二批招标采购涉及的11座台站发射机1分标、铁塔建设5分标标的较小、预算偏低导致公开招标二次流标，未能如期完成建设目标。下一步改进措施：加强设备招标采购市场调研工作，完善采购需求，灵活使用公开招标采购方式，加快推进结转资金招标采购工作。</w:t>
      </w:r>
    </w:p>
    <w:p w14:paraId="55501FE1">
      <w:pPr>
        <w:autoSpaceDE w:val="0"/>
        <w:autoSpaceDN w:val="0"/>
        <w:adjustRightInd w:val="0"/>
        <w:spacing w:line="560" w:lineRule="exact"/>
        <w:ind w:firstLine="640" w:firstLineChars="200"/>
        <w:jc w:val="both"/>
        <w:rPr>
          <w:rFonts w:hint="default" w:ascii="仿宋_GB2312" w:hAnsi="Times New Roman" w:eastAsia="仿宋_GB2312" w:cs="仿宋_GB2312"/>
          <w:color w:val="auto"/>
          <w:kern w:val="0"/>
          <w:sz w:val="32"/>
          <w:szCs w:val="32"/>
          <w:lang w:val="en-US" w:eastAsia="zh-CN"/>
        </w:rPr>
      </w:pPr>
      <w:r>
        <w:rPr>
          <w:rFonts w:hint="eastAsia" w:ascii="仿宋_GB2312" w:hAnsi="Times New Roman" w:eastAsia="仿宋_GB2312" w:cs="仿宋_GB2312"/>
          <w:color w:val="auto"/>
          <w:kern w:val="0"/>
          <w:sz w:val="32"/>
          <w:szCs w:val="32"/>
        </w:rPr>
        <w:t>3.部门绩效评价结果。</w:t>
      </w:r>
    </w:p>
    <w:p w14:paraId="4B6CA346">
      <w:pPr>
        <w:autoSpaceDE w:val="0"/>
        <w:autoSpaceDN w:val="0"/>
        <w:adjustRightInd w:val="0"/>
        <w:spacing w:line="560" w:lineRule="exact"/>
        <w:ind w:firstLine="640" w:firstLineChars="200"/>
        <w:jc w:val="left"/>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组织对“广西本地节目地面数字电视覆盖网建设项目（2022年一期工程）”</w:t>
      </w:r>
      <w:r>
        <w:rPr>
          <w:rFonts w:hint="eastAsia" w:ascii="仿宋_GB2312" w:hAnsi="Times New Roman" w:eastAsia="仿宋_GB2312" w:cs="仿宋_GB2312"/>
          <w:color w:val="auto"/>
          <w:kern w:val="0"/>
          <w:sz w:val="32"/>
          <w:szCs w:val="32"/>
          <w:lang w:val="en-US" w:eastAsia="zh-CN"/>
        </w:rPr>
        <w:t>1</w:t>
      </w:r>
      <w:r>
        <w:rPr>
          <w:rFonts w:hint="eastAsia" w:ascii="仿宋_GB2312" w:hAnsi="Times New Roman" w:eastAsia="仿宋_GB2312" w:cs="仿宋_GB2312"/>
          <w:color w:val="auto"/>
          <w:kern w:val="0"/>
          <w:sz w:val="32"/>
          <w:szCs w:val="32"/>
        </w:rPr>
        <w:t>个项目开展了绩效评价，评价结果为</w:t>
      </w:r>
      <w:r>
        <w:rPr>
          <w:rFonts w:hint="eastAsia" w:ascii="仿宋_GB2312" w:hAnsi="Times New Roman" w:eastAsia="仿宋_GB2312" w:cs="仿宋_GB2312"/>
          <w:color w:val="auto"/>
          <w:kern w:val="0"/>
          <w:sz w:val="32"/>
          <w:szCs w:val="32"/>
          <w:lang w:eastAsia="zh-CN"/>
        </w:rPr>
        <w:t>一</w:t>
      </w:r>
      <w:r>
        <w:rPr>
          <w:rFonts w:hint="eastAsia" w:ascii="仿宋_GB2312" w:hAnsi="Times New Roman" w:eastAsia="仿宋_GB2312" w:cs="仿宋_GB2312"/>
          <w:color w:val="auto"/>
          <w:kern w:val="0"/>
          <w:sz w:val="32"/>
          <w:szCs w:val="32"/>
        </w:rPr>
        <w:t>等</w:t>
      </w:r>
      <w:r>
        <w:rPr>
          <w:rFonts w:hint="eastAsia" w:ascii="仿宋_GB2312" w:hAnsi="Times New Roman" w:eastAsia="仿宋_GB2312" w:cs="仿宋_GB2312"/>
          <w:color w:val="auto"/>
          <w:kern w:val="0"/>
          <w:sz w:val="32"/>
          <w:szCs w:val="32"/>
          <w:lang w:eastAsia="zh-CN"/>
        </w:rPr>
        <w:t>，涉及</w:t>
      </w:r>
      <w:r>
        <w:rPr>
          <w:rFonts w:hint="eastAsia" w:ascii="仿宋_GB2312" w:hAnsi="Times New Roman" w:eastAsia="仿宋_GB2312" w:cs="仿宋_GB2312"/>
          <w:color w:val="auto"/>
          <w:kern w:val="0"/>
          <w:sz w:val="32"/>
          <w:szCs w:val="32"/>
        </w:rPr>
        <w:t>金额2000万元。从评价情况来看，综合项目决策、管理制度、制度执行有效性、质量控制、档案管理、资金管理和支出、预算绩效自评管理以及产出指标分析等情况，本项目整体绩效目标基本完成，符合绩效目标要求。</w:t>
      </w:r>
    </w:p>
    <w:p w14:paraId="15DEA34C">
      <w:pPr>
        <w:autoSpaceDE w:val="0"/>
        <w:autoSpaceDN w:val="0"/>
        <w:adjustRightInd w:val="0"/>
        <w:spacing w:line="560" w:lineRule="exact"/>
        <w:ind w:firstLine="640" w:firstLineChars="200"/>
        <w:jc w:val="left"/>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绩效自评结果拟应用情况：截至2023年7月，2022年一期工程完成401座广播电视无线发射台站建设（含95座县级以上台站、306座乡镇台站），实现所有市、县城区及部分乡镇地面数字电视节目覆盖。每座台站播出自治区级节目2套、市级节目1套、县级节目1套共4套地面数字电视节目，保障城乡居民通过接收地面数字电视信号免费收看地面无线电视节目，满足《国家基本公共服务标准(2023年版)》要求。本项目在建设广西本地节目地面数字电视覆盖网的同时，预留接入国家、省、市、县各级应急广播信息的频率带宽和接口，后续可进一步构建应急广播信息无线发布通道。</w:t>
      </w:r>
    </w:p>
    <w:p w14:paraId="424045A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lang w:val="en-US" w:eastAsia="zh-CN"/>
        </w:rPr>
        <w:t>4.</w:t>
      </w:r>
      <w:r>
        <w:rPr>
          <w:rFonts w:hint="eastAsia" w:ascii="仿宋_GB2312" w:hAnsi="Times New Roman" w:eastAsia="仿宋_GB2312" w:cs="仿宋_GB2312"/>
          <w:color w:val="auto"/>
          <w:kern w:val="0"/>
          <w:sz w:val="32"/>
          <w:szCs w:val="32"/>
        </w:rPr>
        <w:t>财政绩效评价结果。</w:t>
      </w:r>
    </w:p>
    <w:p w14:paraId="615A449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2023年财政部门未对本部门任何项目进行绩效评价。</w:t>
      </w:r>
    </w:p>
    <w:p w14:paraId="0F03CDCD">
      <w:pPr>
        <w:autoSpaceDE w:val="0"/>
        <w:autoSpaceDN w:val="0"/>
        <w:adjustRightInd w:val="0"/>
        <w:spacing w:line="560" w:lineRule="exact"/>
        <w:jc w:val="center"/>
        <w:rPr>
          <w:rFonts w:hint="eastAsia" w:ascii="黑体" w:hAnsi="黑体" w:eastAsia="黑体" w:cs="仿宋_GB2312"/>
          <w:kern w:val="0"/>
          <w:sz w:val="32"/>
          <w:szCs w:val="32"/>
        </w:rPr>
      </w:pPr>
    </w:p>
    <w:p w14:paraId="19FC87E6">
      <w:pPr>
        <w:autoSpaceDE w:val="0"/>
        <w:autoSpaceDN w:val="0"/>
        <w:adjustRightInd w:val="0"/>
        <w:spacing w:line="560" w:lineRule="exact"/>
        <w:jc w:val="center"/>
        <w:rPr>
          <w:rFonts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75B2E537">
      <w:pPr>
        <w:autoSpaceDE w:val="0"/>
        <w:autoSpaceDN w:val="0"/>
        <w:adjustRightInd w:val="0"/>
        <w:spacing w:line="560" w:lineRule="exact"/>
        <w:jc w:val="center"/>
        <w:rPr>
          <w:rFonts w:ascii="黑体" w:hAnsi="黑体" w:eastAsia="黑体" w:cs="仿宋_GB2312"/>
          <w:kern w:val="0"/>
          <w:sz w:val="32"/>
          <w:szCs w:val="32"/>
        </w:rPr>
      </w:pPr>
    </w:p>
    <w:p w14:paraId="6C1FACE1">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 xml:space="preserve">一、财政拨款收入：指自治区财政部门当年拨付的资金。 </w:t>
      </w:r>
    </w:p>
    <w:p w14:paraId="37042D1D">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二、事业收入：指事业单位开展专业业务活动及辅助活动所取得的收入。</w:t>
      </w:r>
    </w:p>
    <w:p w14:paraId="4587260C">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三、经营收入：指事业单位在专业业务活动及其辅助活动之外开展非独立核算经营活动取得的收入。</w:t>
      </w:r>
    </w:p>
    <w:p w14:paraId="31AF285D">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四、其他收入：指除上述“财政拨款收入”“事业收入”“经营收入”等以外的收入。</w:t>
      </w:r>
    </w:p>
    <w:p w14:paraId="5C2B6246">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五、使用非财政拨款结余：指事业单位在当年的“财政拨款收入”“事业收入”“经营收入”“其他收入”不足以安排当年支出的情况下，使用非财政拨款结余、专用结余弥补本年度收支缺口的资金。 </w:t>
      </w:r>
    </w:p>
    <w:p w14:paraId="71EDA0BD">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六、年初结转和结余：指以前年度尚未完成、结转到本年 按有关规定继续使用的资金。 </w:t>
      </w:r>
    </w:p>
    <w:p w14:paraId="00EA7DAD">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七、结余分配：指事业单位按规定提取的职工福利基金、事业基金和缴纳的所得税，以及建设单位按规定应交回的基本建设竣工项目结余资金。 </w:t>
      </w:r>
    </w:p>
    <w:p w14:paraId="5223E1EE">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八、年末结转和结余：指本年度或以前年度预算安排、因客观条件发生变化无法按原计划实施，需要延迟到以后年度按有关规定继续使用的资金。 </w:t>
      </w:r>
    </w:p>
    <w:p w14:paraId="2DD069E7">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九、基本支出：指为保障机构正常运转、完成日常工作任务而发生的人员支出和公用支出。 </w:t>
      </w:r>
    </w:p>
    <w:p w14:paraId="75B6773F">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十、项目支出：指在基本支出之外为完成特定行政任务和事业发展目标所发生的支出。 </w:t>
      </w:r>
    </w:p>
    <w:p w14:paraId="2EF8618A">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十一、经营支出：指事业单位在专业业务活动及其辅助活动之外开展非独立核算经营活动发生的支出。</w:t>
      </w:r>
    </w:p>
    <w:p w14:paraId="1DC964A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w:t>
      </w:r>
      <w:r>
        <w:rPr>
          <w:rFonts w:hint="eastAsia" w:ascii="仿宋_GB2312" w:hAnsi="Times New Roman" w:eastAsia="仿宋_GB2312"/>
          <w:spacing w:val="-6"/>
          <w:sz w:val="32"/>
          <w:szCs w:val="32"/>
        </w:rPr>
        <w:t>务接待费反映单位按规定开支的各类公务接待（含外宾接待）支出</w:t>
      </w:r>
      <w:r>
        <w:rPr>
          <w:rFonts w:hint="eastAsia" w:ascii="仿宋_GB2312" w:hAnsi="Times New Roman" w:eastAsia="仿宋_GB2312"/>
          <w:sz w:val="32"/>
          <w:szCs w:val="32"/>
        </w:rPr>
        <w:t xml:space="preserve">。 </w:t>
      </w:r>
    </w:p>
    <w:p w14:paraId="5E431AD0">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9A9F8B">
      <w:pPr>
        <w:spacing w:line="560" w:lineRule="exact"/>
        <w:ind w:firstLine="640" w:firstLineChars="200"/>
        <w:rPr>
          <w:rFonts w:ascii="仿宋_GB2312" w:hAnsi="Times New Roman" w:eastAsia="仿宋_GB2312"/>
          <w:sz w:val="32"/>
          <w:szCs w:val="32"/>
        </w:rPr>
      </w:pPr>
    </w:p>
    <w:p w14:paraId="155CA9B5">
      <w:pPr>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rPr>
        <w:t>附件:</w:t>
      </w:r>
      <w:r>
        <w:rPr>
          <w:rFonts w:hint="eastAsia" w:ascii="仿宋_GB2312" w:hAnsi="Times New Roman" w:eastAsia="仿宋_GB2312"/>
          <w:sz w:val="32"/>
          <w:szCs w:val="32"/>
          <w:lang w:eastAsia="zh-CN"/>
        </w:rPr>
        <w:t>广西壮族</w:t>
      </w:r>
      <w:r>
        <w:rPr>
          <w:rFonts w:hint="eastAsia" w:ascii="仿宋_GB2312" w:hAnsi="Times New Roman" w:eastAsia="仿宋_GB2312"/>
          <w:sz w:val="32"/>
          <w:szCs w:val="32"/>
        </w:rPr>
        <w:t>自治区</w:t>
      </w:r>
      <w:r>
        <w:rPr>
          <w:rFonts w:hint="eastAsia" w:ascii="仿宋_GB2312" w:hAnsi="Times New Roman" w:eastAsia="仿宋_GB2312"/>
          <w:sz w:val="32"/>
          <w:szCs w:val="32"/>
          <w:lang w:eastAsia="zh-CN"/>
        </w:rPr>
        <w:t>广播电视</w:t>
      </w:r>
      <w:r>
        <w:rPr>
          <w:rFonts w:hint="eastAsia" w:ascii="仿宋_GB2312" w:hAnsi="Times New Roman" w:eastAsia="仿宋_GB2312"/>
          <w:sz w:val="32"/>
          <w:szCs w:val="32"/>
        </w:rPr>
        <w:t>局</w:t>
      </w:r>
      <w:r>
        <w:rPr>
          <w:rFonts w:hint="eastAsia" w:ascii="仿宋_GB2312" w:hAnsi="Times New Roman" w:eastAsia="仿宋_GB2312"/>
          <w:sz w:val="32"/>
          <w:szCs w:val="32"/>
          <w:lang w:eastAsia="zh-CN"/>
        </w:rPr>
        <w:t>2023年</w:t>
      </w:r>
      <w:r>
        <w:rPr>
          <w:rFonts w:hint="eastAsia" w:ascii="仿宋_GB2312" w:hAnsi="Times New Roman" w:eastAsia="仿宋_GB2312"/>
          <w:sz w:val="32"/>
          <w:szCs w:val="32"/>
        </w:rPr>
        <w:t>度部门决算公开</w:t>
      </w:r>
      <w:r>
        <w:rPr>
          <w:rFonts w:hint="eastAsia" w:ascii="仿宋_GB2312" w:hAnsi="Times New Roman" w:eastAsia="仿宋_GB2312"/>
          <w:sz w:val="32"/>
          <w:szCs w:val="32"/>
          <w:lang w:val="en-US" w:eastAsia="zh-CN"/>
        </w:rPr>
        <w:t xml:space="preserve"> </w:t>
      </w:r>
    </w:p>
    <w:p w14:paraId="7F538EDB">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附表</w:t>
      </w:r>
    </w:p>
    <w:p w14:paraId="02675FD3">
      <w:pPr>
        <w:spacing w:line="560" w:lineRule="exact"/>
      </w:pPr>
    </w:p>
    <w:sectPr>
      <w:footerReference r:id="rId6" w:type="default"/>
      <w:pgSz w:w="11906" w:h="16838"/>
      <w:pgMar w:top="1701" w:right="1474" w:bottom="1247"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00"/>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5721">
    <w:pPr>
      <w:pStyle w:val="2"/>
      <w:ind w:right="2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04A6">
    <w:pPr>
      <w:pStyle w:val="2"/>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B464">
    <w:pPr>
      <w:pStyle w:val="2"/>
      <w:ind w:right="28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E6FB">
    <w:pPr>
      <w:pStyle w:val="2"/>
      <w:ind w:right="28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59E7C8">
                          <w:pPr>
                            <w:pStyle w:val="2"/>
                            <w:ind w:right="280"/>
                            <w:jc w:val="both"/>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w:t>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0lY7tAAAAAFAQAADwAAAAAAAAAB&#10;ACAAAAAiAAAAZHJzL2Rvd25yZXYueG1sUEsBAhQAFAAAAAgAh07iQLisSqXfAQAAuwMAAA4AAAAA&#10;AAAAAQAgAAAAHwEAAGRycy9lMm9Eb2MueG1sUEsFBgAAAAAGAAYAWQEAAHAFAAAAAA==&#10;">
              <v:fill on="f" focussize="0,0"/>
              <v:stroke on="f" weight="0.5pt"/>
              <v:imagedata o:title=""/>
              <o:lock v:ext="edit" aspectratio="f"/>
              <v:textbox inset="0mm,0mm,0mm,0mm" style="mso-fit-shape-to-text:t;">
                <w:txbxContent>
                  <w:p w14:paraId="5F59E7C8">
                    <w:pPr>
                      <w:pStyle w:val="2"/>
                      <w:ind w:right="280"/>
                      <w:jc w:val="both"/>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ODdhNzI3NWRjMjBlMmY0MDQzMjA0Yzg1YTA0NDMifQ=="/>
    <w:docVar w:name="KSO_WPS_MARK_KEY" w:val="65a5176d-03e5-435a-99ca-2452e6f7c5be"/>
  </w:docVars>
  <w:rsids>
    <w:rsidRoot w:val="003F0F24"/>
    <w:rsid w:val="0001434D"/>
    <w:rsid w:val="0002402A"/>
    <w:rsid w:val="0002405D"/>
    <w:rsid w:val="00077CC8"/>
    <w:rsid w:val="000D64F2"/>
    <w:rsid w:val="00102130"/>
    <w:rsid w:val="00131CCB"/>
    <w:rsid w:val="001451D9"/>
    <w:rsid w:val="00176F5D"/>
    <w:rsid w:val="001C0217"/>
    <w:rsid w:val="002164C7"/>
    <w:rsid w:val="0026541B"/>
    <w:rsid w:val="002C58B5"/>
    <w:rsid w:val="003033EC"/>
    <w:rsid w:val="00321926"/>
    <w:rsid w:val="00355ADF"/>
    <w:rsid w:val="003F0F24"/>
    <w:rsid w:val="0040493D"/>
    <w:rsid w:val="004F76BB"/>
    <w:rsid w:val="00500193"/>
    <w:rsid w:val="00507914"/>
    <w:rsid w:val="00533C72"/>
    <w:rsid w:val="005739BF"/>
    <w:rsid w:val="00574271"/>
    <w:rsid w:val="00583922"/>
    <w:rsid w:val="005927C6"/>
    <w:rsid w:val="005C2F1A"/>
    <w:rsid w:val="005D2685"/>
    <w:rsid w:val="005E2E30"/>
    <w:rsid w:val="005F1461"/>
    <w:rsid w:val="006371B6"/>
    <w:rsid w:val="00662352"/>
    <w:rsid w:val="00690239"/>
    <w:rsid w:val="007C49D9"/>
    <w:rsid w:val="008819DE"/>
    <w:rsid w:val="008B7ED9"/>
    <w:rsid w:val="008D01BF"/>
    <w:rsid w:val="008E11C1"/>
    <w:rsid w:val="009053D8"/>
    <w:rsid w:val="0092360D"/>
    <w:rsid w:val="009245BC"/>
    <w:rsid w:val="009867B7"/>
    <w:rsid w:val="009B160C"/>
    <w:rsid w:val="009B43EB"/>
    <w:rsid w:val="00A52386"/>
    <w:rsid w:val="00A628B8"/>
    <w:rsid w:val="00A73E29"/>
    <w:rsid w:val="00AE55ED"/>
    <w:rsid w:val="00B273B9"/>
    <w:rsid w:val="00B53C96"/>
    <w:rsid w:val="00B64185"/>
    <w:rsid w:val="00B727BE"/>
    <w:rsid w:val="00B76CDB"/>
    <w:rsid w:val="00BF2C99"/>
    <w:rsid w:val="00BF4D65"/>
    <w:rsid w:val="00BF5C0A"/>
    <w:rsid w:val="00C113F6"/>
    <w:rsid w:val="00C721DD"/>
    <w:rsid w:val="00C75074"/>
    <w:rsid w:val="00C90123"/>
    <w:rsid w:val="00CB6952"/>
    <w:rsid w:val="00CE1786"/>
    <w:rsid w:val="00CE2CBF"/>
    <w:rsid w:val="00CF443A"/>
    <w:rsid w:val="00D824CB"/>
    <w:rsid w:val="00D83144"/>
    <w:rsid w:val="00DC31BE"/>
    <w:rsid w:val="00DC3A8F"/>
    <w:rsid w:val="00E27B09"/>
    <w:rsid w:val="00E31EFD"/>
    <w:rsid w:val="00E4261E"/>
    <w:rsid w:val="00E4348B"/>
    <w:rsid w:val="00E618B6"/>
    <w:rsid w:val="00E83D9E"/>
    <w:rsid w:val="00F562C4"/>
    <w:rsid w:val="00F74C6F"/>
    <w:rsid w:val="00F95692"/>
    <w:rsid w:val="00FB4BE0"/>
    <w:rsid w:val="0617479A"/>
    <w:rsid w:val="080F6B2A"/>
    <w:rsid w:val="0B6D4294"/>
    <w:rsid w:val="0BB84DE3"/>
    <w:rsid w:val="0C296B19"/>
    <w:rsid w:val="0EBC4F8B"/>
    <w:rsid w:val="0F9022FF"/>
    <w:rsid w:val="122355D2"/>
    <w:rsid w:val="126857B5"/>
    <w:rsid w:val="1C5449CE"/>
    <w:rsid w:val="1D8E230E"/>
    <w:rsid w:val="1DC227CB"/>
    <w:rsid w:val="1F345A09"/>
    <w:rsid w:val="1F711281"/>
    <w:rsid w:val="1FF10464"/>
    <w:rsid w:val="20AB02E5"/>
    <w:rsid w:val="219F0AC7"/>
    <w:rsid w:val="23DA5DE6"/>
    <w:rsid w:val="24877D1C"/>
    <w:rsid w:val="25900E53"/>
    <w:rsid w:val="32CC2D9E"/>
    <w:rsid w:val="38F57A1E"/>
    <w:rsid w:val="3AFA0DF0"/>
    <w:rsid w:val="3B0B1965"/>
    <w:rsid w:val="3B834204"/>
    <w:rsid w:val="3C7E335B"/>
    <w:rsid w:val="3CEF0187"/>
    <w:rsid w:val="3DEC38A8"/>
    <w:rsid w:val="3EAA46AF"/>
    <w:rsid w:val="3ECFADA4"/>
    <w:rsid w:val="46195EA3"/>
    <w:rsid w:val="48027536"/>
    <w:rsid w:val="4851401A"/>
    <w:rsid w:val="4CAD5597"/>
    <w:rsid w:val="4E485577"/>
    <w:rsid w:val="4EB51719"/>
    <w:rsid w:val="4F18319B"/>
    <w:rsid w:val="4FAA337B"/>
    <w:rsid w:val="52B509FF"/>
    <w:rsid w:val="558570B1"/>
    <w:rsid w:val="59A33FA9"/>
    <w:rsid w:val="5A3D74C7"/>
    <w:rsid w:val="5A6574B1"/>
    <w:rsid w:val="5B503CBD"/>
    <w:rsid w:val="5BAB5397"/>
    <w:rsid w:val="66293A88"/>
    <w:rsid w:val="66882EA5"/>
    <w:rsid w:val="677C749B"/>
    <w:rsid w:val="678A07CA"/>
    <w:rsid w:val="67B94EBC"/>
    <w:rsid w:val="69B31FE7"/>
    <w:rsid w:val="6A5449BB"/>
    <w:rsid w:val="6ABC4ECB"/>
    <w:rsid w:val="6BF012D0"/>
    <w:rsid w:val="6FCD7BD0"/>
    <w:rsid w:val="72AE660D"/>
    <w:rsid w:val="73C60B68"/>
    <w:rsid w:val="79B8E686"/>
    <w:rsid w:val="7C217284"/>
    <w:rsid w:val="7E1D1CCD"/>
    <w:rsid w:val="7FDE3475"/>
    <w:rsid w:val="9FFD1985"/>
    <w:rsid w:val="B5F6279F"/>
    <w:rsid w:val="FBF3D981"/>
    <w:rsid w:val="FEED55F9"/>
    <w:rsid w:val="FFEF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ascii="Times New Roman" w:hAnsi="Times New Roman"/>
      <w:sz w:val="18"/>
      <w:szCs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5"/>
    <w:link w:val="2"/>
    <w:qFormat/>
    <w:uiPriority w:val="99"/>
    <w:rPr>
      <w:rFonts w:ascii="Times New Roman" w:hAnsi="Times New Roman" w:eastAsia="宋体" w:cs="Times New Roman"/>
      <w:sz w:val="18"/>
      <w:szCs w:val="18"/>
    </w:rPr>
  </w:style>
  <w:style w:type="paragraph" w:styleId="7">
    <w:name w:val="List Paragraph"/>
    <w:basedOn w:val="1"/>
    <w:qFormat/>
    <w:uiPriority w:val="34"/>
    <w:pPr>
      <w:ind w:firstLine="420" w:firstLineChars="200"/>
    </w:p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11868</Words>
  <Characters>13245</Characters>
  <Lines>85</Lines>
  <Paragraphs>24</Paragraphs>
  <TotalTime>3823</TotalTime>
  <ScaleCrop>false</ScaleCrop>
  <LinksUpToDate>false</LinksUpToDate>
  <CharactersWithSpaces>13281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2023-08-18T19:47:00Z</dcterms:created>
  <dc:creator>lenovo</dc:creator>
  <cp:lastModifiedBy>MT</cp:lastModifiedBy>
  <cp:lastPrinted>2024-10-10T18:32:00Z</cp:lastPrinted>
  <dcterms:modified xsi:type="dcterms:W3CDTF">2025-10-11T01:59:05Z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DF56F3B97CB443A290ADB0AA6C0140B5_13</vt:lpwstr>
  </property>
  <property fmtid="{D5CDD505-2E9C-101B-9397-08002B2CF9AE}" pid="4" name="KSOTemplateDocerSaveRecord">
    <vt:lpwstr>eyJoZGlkIjoiYjk5NTk5MTA5MzJlZjljNzNjNTBjZTc5NjZkMDk1MzciLCJ1c2VySWQiOiIyNzE0ODEyOTUifQ==</vt:lpwstr>
  </property>
</Properties>
</file>