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5E" w:rsidRDefault="0044217F">
      <w:pPr>
        <w:spacing w:line="360" w:lineRule="auto"/>
        <w:ind w:firstLineChars="200" w:firstLine="880"/>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广西广播电视技术中心河池分中心</w:t>
      </w:r>
    </w:p>
    <w:p w:rsidR="00B0045E" w:rsidRDefault="0044217F">
      <w:pPr>
        <w:spacing w:line="360" w:lineRule="auto"/>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2022年预算公开</w:t>
      </w:r>
    </w:p>
    <w:p w:rsidR="00B0045E" w:rsidRDefault="00B0045E">
      <w:pPr>
        <w:spacing w:line="360" w:lineRule="auto"/>
        <w:ind w:firstLineChars="200" w:firstLine="640"/>
        <w:jc w:val="center"/>
        <w:rPr>
          <w:rFonts w:ascii="黑体" w:eastAsia="黑体" w:hAnsi="黑体" w:cs="黑体"/>
          <w:sz w:val="32"/>
          <w:szCs w:val="32"/>
        </w:rPr>
      </w:pPr>
    </w:p>
    <w:p w:rsidR="00B0045E" w:rsidRDefault="0044217F">
      <w:pPr>
        <w:adjustRightInd w:val="0"/>
        <w:snapToGrid w:val="0"/>
        <w:spacing w:line="600" w:lineRule="exact"/>
        <w:ind w:rightChars="-104" w:right="-218"/>
        <w:jc w:val="center"/>
        <w:rPr>
          <w:rFonts w:ascii="黑体" w:eastAsia="黑体" w:hAnsi="黑体" w:cs="黑体"/>
          <w:bCs/>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bCs/>
          <w:sz w:val="32"/>
          <w:szCs w:val="32"/>
        </w:rPr>
        <w:t>目  录</w:t>
      </w:r>
    </w:p>
    <w:p w:rsidR="00B0045E" w:rsidRDefault="00B0045E">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B0045E" w:rsidRDefault="0044217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第一部分：单位概况</w:t>
      </w:r>
    </w:p>
    <w:p w:rsidR="00B0045E" w:rsidRDefault="0044217F">
      <w:pPr>
        <w:adjustRightInd w:val="0"/>
        <w:snapToGrid w:val="0"/>
        <w:spacing w:line="600" w:lineRule="exact"/>
        <w:ind w:rightChars="-104" w:right="-218"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sz w:val="32"/>
          <w:szCs w:val="32"/>
        </w:rPr>
        <w:t>、主要职能</w:t>
      </w:r>
    </w:p>
    <w:p w:rsidR="00B0045E" w:rsidRDefault="004421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二、机构设置情况</w:t>
      </w:r>
    </w:p>
    <w:p w:rsidR="00B0045E" w:rsidRDefault="00B0045E">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B0045E" w:rsidRDefault="0044217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第二部分：广西广播电视技术中心河池分中心2022年单位预算情况说明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九、其他重要事项情况说明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（一）事业单位相关运行经费安排情况说明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（二）政府采购预算安排情况说明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（三）国有资产占用情况说明</w:t>
      </w:r>
    </w:p>
    <w:p w:rsidR="00B0045E" w:rsidRDefault="0044217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（四）重点项目预算绩效目标等情况说明</w:t>
      </w:r>
    </w:p>
    <w:p w:rsidR="00B0045E" w:rsidRDefault="00B0045E">
      <w:pPr>
        <w:adjustRightInd w:val="0"/>
        <w:snapToGrid w:val="0"/>
        <w:spacing w:line="600" w:lineRule="exact"/>
        <w:ind w:rightChars="-104" w:right="-218"/>
        <w:rPr>
          <w:rFonts w:ascii="仿宋_GB2312" w:eastAsia="仿宋_GB2312" w:hAnsi="仿宋_GB2312" w:cs="仿宋_GB2312"/>
          <w:bCs/>
          <w:sz w:val="32"/>
          <w:szCs w:val="32"/>
        </w:rPr>
      </w:pPr>
    </w:p>
    <w:p w:rsidR="00B0045E" w:rsidRDefault="0044217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第三部分：名词解释</w:t>
      </w:r>
    </w:p>
    <w:p w:rsidR="00B0045E" w:rsidRDefault="00B0045E">
      <w:pPr>
        <w:adjustRightInd w:val="0"/>
        <w:snapToGrid w:val="0"/>
        <w:spacing w:line="600" w:lineRule="exact"/>
        <w:ind w:rightChars="-104" w:right="-218" w:firstLineChars="200" w:firstLine="643"/>
        <w:rPr>
          <w:rFonts w:ascii="黑体" w:eastAsia="黑体" w:hAnsi="黑体" w:cs="黑体"/>
          <w:b/>
          <w:sz w:val="32"/>
          <w:szCs w:val="32"/>
        </w:rPr>
      </w:pPr>
    </w:p>
    <w:p w:rsidR="00B0045E" w:rsidRDefault="0044217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第四部分：广西广播电视技术中心河池分中心</w:t>
      </w:r>
      <w:r w:rsidR="007B4630">
        <w:rPr>
          <w:rFonts w:ascii="黑体" w:eastAsia="黑体" w:hAnsi="黑体" w:cs="黑体" w:hint="eastAsia"/>
          <w:sz w:val="32"/>
          <w:szCs w:val="32"/>
        </w:rPr>
        <w:t>2022年预算公开报表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B0045E" w:rsidRDefault="0044217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5E33F3" w:rsidRDefault="005E33F3">
      <w:pPr>
        <w:spacing w:line="360" w:lineRule="auto"/>
        <w:ind w:firstLineChars="200" w:firstLine="640"/>
        <w:rPr>
          <w:rFonts w:ascii="仿宋_GB2312" w:eastAsia="仿宋_GB2312" w:hAnsi="仿宋_GB2312" w:cs="仿宋_GB2312"/>
          <w:sz w:val="32"/>
          <w:szCs w:val="32"/>
        </w:rPr>
      </w:pP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44217F">
      <w:pPr>
        <w:spacing w:line="360" w:lineRule="auto"/>
        <w:ind w:firstLineChars="200" w:firstLine="640"/>
        <w:rPr>
          <w:rFonts w:ascii="黑体" w:eastAsia="黑体" w:hAnsi="黑体" w:cs="黑体"/>
          <w:sz w:val="32"/>
          <w:szCs w:val="32"/>
        </w:rPr>
      </w:pPr>
      <w:bookmarkStart w:id="1" w:name="_Toc12460"/>
      <w:r>
        <w:rPr>
          <w:rFonts w:ascii="黑体" w:eastAsia="黑体" w:hAnsi="黑体" w:cs="黑体" w:hint="eastAsia"/>
          <w:sz w:val="32"/>
          <w:szCs w:val="32"/>
        </w:rPr>
        <w:t>第一部分：单位概况</w:t>
      </w:r>
      <w:bookmarkEnd w:id="1"/>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一、主要职责</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负责广播电视信号的当地范围传输、转播、发射，承担所辖广播电视无线发射台站设备维护管理；承担所辖区域实验广播、应急广播业务开展以及新闻出版广播影视新媒体新业务（无线）的集成分发。</w:t>
      </w:r>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二、机构设置情况</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广西广播电视技术中心河池分中心为三级预算单位，隶属于广西壮族自治区广播电视局。其内设机构办公室、河池中波台维护部、二五0台维护部、宜州维护部、凤山维护部以及村村通维护部共6个部门。</w:t>
      </w:r>
      <w:bookmarkStart w:id="2" w:name="_Toc18228"/>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人员编制73人（其中:事业编制71人，机关后勤服务中心控制数2人）。纳入单位预算编制内实有在职人员59人（其中：事业编制在职人数59人，控制数实有人数0人）比上年增加1人，退休人员31人，与上年持平，均为财政供养人员。</w:t>
      </w: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44217F">
      <w:pPr>
        <w:spacing w:line="360" w:lineRule="auto"/>
        <w:ind w:firstLineChars="200" w:firstLine="640"/>
        <w:rPr>
          <w:rFonts w:ascii="黑体" w:eastAsia="黑体" w:hAnsi="黑体" w:cs="黑体"/>
          <w:sz w:val="32"/>
          <w:szCs w:val="32"/>
        </w:rPr>
      </w:pPr>
      <w:bookmarkStart w:id="3" w:name="_Toc1183"/>
      <w:bookmarkEnd w:id="2"/>
      <w:r>
        <w:rPr>
          <w:rFonts w:ascii="黑体" w:eastAsia="黑体" w:hAnsi="黑体" w:cs="黑体" w:hint="eastAsia"/>
          <w:sz w:val="32"/>
          <w:szCs w:val="32"/>
        </w:rPr>
        <w:t>第二部分：广西广播电视技术中心河池分中心2022年单位预算情况说明</w:t>
      </w:r>
    </w:p>
    <w:p w:rsidR="00B0045E" w:rsidRDefault="0044217F">
      <w:pPr>
        <w:spacing w:line="360" w:lineRule="auto"/>
        <w:ind w:firstLineChars="200" w:firstLine="640"/>
        <w:rPr>
          <w:rFonts w:ascii="黑体" w:eastAsia="黑体" w:hAnsi="黑体" w:cs="黑体"/>
          <w:sz w:val="32"/>
          <w:szCs w:val="32"/>
        </w:rPr>
      </w:pPr>
      <w:bookmarkStart w:id="4" w:name="_Toc17463"/>
      <w:bookmarkEnd w:id="3"/>
      <w:r>
        <w:rPr>
          <w:rFonts w:ascii="黑体" w:eastAsia="黑体" w:hAnsi="黑体" w:cs="黑体" w:hint="eastAsia"/>
          <w:sz w:val="32"/>
          <w:szCs w:val="32"/>
        </w:rPr>
        <w:t>一、单位收支总体情况说明</w:t>
      </w:r>
      <w:bookmarkEnd w:id="4"/>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2022年收入总预算1,998.41万元，同比上年增加302.94万</w:t>
      </w:r>
      <w:r>
        <w:rPr>
          <w:rFonts w:ascii="仿宋_GB2312" w:eastAsia="仿宋_GB2312" w:hAnsi="仿宋_GB2312" w:cs="仿宋_GB2312" w:hint="eastAsia"/>
          <w:sz w:val="32"/>
          <w:szCs w:val="32"/>
        </w:rPr>
        <w:lastRenderedPageBreak/>
        <w:t>元，增长17.87%。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2022年收入总预算总体增加的主要原因：</w:t>
      </w:r>
      <w:r>
        <w:rPr>
          <w:rFonts w:ascii="仿宋_GB2312" w:eastAsia="仿宋_GB2312" w:hAnsi="宋体" w:cs="宋体" w:hint="eastAsia"/>
          <w:sz w:val="32"/>
          <w:szCs w:val="32"/>
        </w:rPr>
        <w:t>一是在职人员绩效工资增长以及以其为基数计算的养老保险、职业年金、医疗保险、住房公积金等相应增加；二是根据</w:t>
      </w:r>
      <w:r>
        <w:rPr>
          <w:rFonts w:ascii="仿宋_GB2312" w:eastAsia="仿宋_GB2312" w:hAnsi="宋体" w:cs="宋体"/>
          <w:sz w:val="32"/>
          <w:szCs w:val="32"/>
        </w:rPr>
        <w:t>202</w:t>
      </w:r>
      <w:r>
        <w:rPr>
          <w:rFonts w:ascii="仿宋_GB2312" w:eastAsia="仿宋_GB2312" w:hAnsi="宋体" w:cs="宋体" w:hint="eastAsia"/>
          <w:sz w:val="32"/>
          <w:szCs w:val="32"/>
        </w:rPr>
        <w:t>2年度工作计划，增加广播电视专用器材及设备购置项目经费。</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2022年支出预算1,998.41万元，同比上年增加302.94万元，增长17.87%。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支出增加的主要原因与收入增加的原因相同。</w:t>
      </w:r>
    </w:p>
    <w:p w:rsidR="00B0045E" w:rsidRDefault="0044217F">
      <w:pPr>
        <w:spacing w:line="360" w:lineRule="auto"/>
        <w:ind w:firstLineChars="200" w:firstLine="640"/>
        <w:rPr>
          <w:rFonts w:ascii="黑体" w:eastAsia="黑体" w:hAnsi="黑体" w:cs="黑体"/>
          <w:b/>
          <w:bCs/>
          <w:sz w:val="32"/>
          <w:szCs w:val="32"/>
        </w:rPr>
      </w:pPr>
      <w:bookmarkStart w:id="5" w:name="_Toc19869"/>
      <w:r>
        <w:rPr>
          <w:rFonts w:ascii="黑体" w:eastAsia="黑体" w:hAnsi="黑体" w:cs="黑体" w:hint="eastAsia"/>
          <w:sz w:val="32"/>
          <w:szCs w:val="32"/>
        </w:rPr>
        <w:t>二、单位收入总体情况说明</w:t>
      </w:r>
      <w:bookmarkEnd w:id="5"/>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2022年收入预算1,998.41万元，同比上年增加302.94万元，增长17.87%。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（一）一般公共预算拨款增（减）原因</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一般公共预算拨款1,926.62万元，同比上年增加278.73万元，增长16.91%。</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增加的原因为：一是在职人员绩效工资增长以及以其为基数计算的养老保险、职业年金、医疗保险、住房公积金等相应增加；二是根据2022年度工作计划，增加广播电视专用器材及设备购置项目经费。</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（二）其他收入增（减）原因</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其他收入16.79万元，同比减少15.79万元，下降48.47%。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减少的主要原因是房租收入减少。</w:t>
      </w:r>
    </w:p>
    <w:p w:rsidR="00B0045E" w:rsidRDefault="004421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（三）上年结转结余增（减）原因</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上年结余收入55万元，同比增加40万元，增长266.67%。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增加的主要原因是加大力度清理结转结余资金。</w:t>
      </w:r>
    </w:p>
    <w:p w:rsidR="00B0045E" w:rsidRDefault="0044217F">
      <w:pPr>
        <w:spacing w:line="360" w:lineRule="auto"/>
        <w:ind w:firstLineChars="200" w:firstLine="640"/>
        <w:rPr>
          <w:rFonts w:ascii="黑体" w:eastAsia="黑体" w:hAnsi="黑体" w:cs="黑体"/>
          <w:sz w:val="32"/>
          <w:szCs w:val="32"/>
        </w:rPr>
      </w:pPr>
      <w:bookmarkStart w:id="6" w:name="_Toc15696"/>
      <w:r>
        <w:rPr>
          <w:rFonts w:ascii="黑体" w:eastAsia="黑体" w:hAnsi="黑体" w:cs="黑体" w:hint="eastAsia"/>
          <w:sz w:val="32"/>
          <w:szCs w:val="32"/>
        </w:rPr>
        <w:t>三、单位支出总体情况说明</w:t>
      </w:r>
      <w:bookmarkEnd w:id="6"/>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2022年支出预算1,998.41万元，同比上年增加302.94万元，增长17.87%。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按支出结构分类划分，分为基本支出预算和项目支出预算。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基本支出预算1,271.27万元，占支出总预算63.61%，同比增加210.71万元，增长19.87%。其中：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工资福利支出1,065.70万元，占支出总预算53.33%，同比增加197.01万元，增长22.68%。</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商品和服务支出127.88万元，占支出总预算6.40%，同比增加3.06万元，增长2.45%。</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个人和家庭补助支出77.69万元，占支出总预算3.89%，同比增加10.64万元，增长15.87%。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2022年项目支出预算727.14万元，占支出总预算36.39%，同比增加92.23万元，增长14.53%。</w:t>
      </w:r>
      <w:bookmarkStart w:id="7" w:name="_Toc23864"/>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四、财政拨款收支总体情况说明</w:t>
      </w:r>
      <w:bookmarkEnd w:id="7"/>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财政拨款总预算1,926.62万元，同比增加278.73万元，增长16.91%。</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按照支出功能分类科目划分，共分为4类，其中：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文化旅游体育与传媒支出1,550.53万元，占支出总预算77.59%，同比增加213.34万元，增长15.95%。</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社会保障和就业支出208.07万元，占支出总预算10.41%，同比增加35.46万元，增长20.54%。</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卫生健康支出82.18万元，占支出总预算4.11%，同比增加14.05万元，增长20.62%。</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住房保障支出85.85万元，占支出总预算4.30%，同比增加15.89万元，增长22.71%。</w:t>
      </w:r>
    </w:p>
    <w:p w:rsidR="00B0045E" w:rsidRDefault="0044217F">
      <w:pPr>
        <w:spacing w:line="360" w:lineRule="auto"/>
        <w:ind w:firstLineChars="200" w:firstLine="640"/>
        <w:rPr>
          <w:rFonts w:ascii="黑体" w:eastAsia="黑体" w:hAnsi="黑体" w:cs="黑体"/>
          <w:sz w:val="32"/>
          <w:szCs w:val="32"/>
        </w:rPr>
      </w:pPr>
      <w:bookmarkStart w:id="8" w:name="_Toc14443"/>
      <w:r>
        <w:rPr>
          <w:rFonts w:ascii="黑体" w:eastAsia="黑体" w:hAnsi="黑体" w:cs="黑体" w:hint="eastAsia"/>
          <w:sz w:val="32"/>
          <w:szCs w:val="32"/>
        </w:rPr>
        <w:t>五、一般公共预算支出情况说明</w:t>
      </w:r>
      <w:bookmarkEnd w:id="8"/>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一般公共预算拨款支出1,926.62万元，同比增加278.73万元，增长16.91%。</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（一）按照支出功能分类科目划分，共分为4类，其中：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文化旅游体育与传媒支出1,550.53万元，占支出总预算77.59%，同比增加213.34万元，增长15.95%。</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社会保障和就业支出208.07万元，占支出总预算10.41%，同比增加35.46万元，增长20.54%。</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卫生健康支出82.18万元，占支出总预算4.11%，同比增加14.05万元，增长20.62%。</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住房保障支出85.85万元，占支出总预算4.30%，同比增加15.89万元，增长22.71%。</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（二）按支出结构分类划分，分为基本支出预算和项目支出预算。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1.基本支出预算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基本支出预算1,271.27万元，占支出总预算63.61%，同比增加210.71万元，增长19.87%。其中：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工资福利支出1,065.70万元，占支出总预算53.33%，同比增加197.01万元，增长22.68%。</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商品和服务支出127.88万元，占支出总预算6.40%，同比增加3.06万元，增长2.45%。</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个人和家庭补助支出77.69万元，占支出总预算3.89%，同比增加10.64万元，增长15.87%。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2.项目支出预算</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项目支出655.35万元，占支出总预算32.79%，同比增加68.02万元，增长11.58%。</w:t>
      </w:r>
    </w:p>
    <w:p w:rsidR="00B0045E" w:rsidRDefault="0044217F">
      <w:pPr>
        <w:spacing w:line="360" w:lineRule="auto"/>
        <w:ind w:firstLineChars="200" w:firstLine="640"/>
        <w:rPr>
          <w:rFonts w:ascii="黑体" w:eastAsia="黑体" w:hAnsi="黑体" w:cs="黑体"/>
          <w:sz w:val="32"/>
          <w:szCs w:val="32"/>
        </w:rPr>
      </w:pPr>
      <w:bookmarkStart w:id="9" w:name="_Toc7740"/>
      <w:r>
        <w:rPr>
          <w:rFonts w:ascii="黑体" w:eastAsia="黑体" w:hAnsi="黑体" w:cs="黑体" w:hint="eastAsia"/>
          <w:sz w:val="32"/>
          <w:szCs w:val="32"/>
        </w:rPr>
        <w:t>六、一般公共预算基本支出情况说明</w:t>
      </w:r>
      <w:bookmarkEnd w:id="9"/>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一般公共预算拨款基本支出预算1,271.27万元，占支出总预算63.61%，同比增加210.70万元，增长19.87%。其中：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（一）人员经费支出1,143.39万元，其中：</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1.工资福利支出1,065.70万元，占支出总预算53.33%，同比增加197.01万元，增长22.68%。</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2.个人和家庭补助支出77.69万元，占支出总预算3.89%，同比增加10.64万元，增长15.87%。</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（二）公用经费支出127.88万元，均为商品和服务支出，占支出总预算的6.40%，同比增加3.06万元，增长2.45%。</w:t>
      </w:r>
    </w:p>
    <w:p w:rsidR="00B0045E" w:rsidRDefault="0044217F">
      <w:pPr>
        <w:spacing w:line="360" w:lineRule="auto"/>
        <w:ind w:firstLineChars="200" w:firstLine="640"/>
        <w:rPr>
          <w:rFonts w:ascii="黑体" w:eastAsia="黑体" w:hAnsi="黑体" w:cs="黑体"/>
          <w:sz w:val="32"/>
          <w:szCs w:val="32"/>
        </w:rPr>
      </w:pPr>
      <w:bookmarkStart w:id="10" w:name="_Toc19959"/>
      <w:r>
        <w:rPr>
          <w:rFonts w:ascii="黑体" w:eastAsia="黑体" w:hAnsi="黑体" w:cs="黑体" w:hint="eastAsia"/>
          <w:sz w:val="32"/>
          <w:szCs w:val="32"/>
        </w:rPr>
        <w:lastRenderedPageBreak/>
        <w:t>七、一般公共预算“三公”经费支出情况说明</w:t>
      </w:r>
      <w:bookmarkEnd w:id="10"/>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2022年一般公共预算安排</w:t>
      </w:r>
      <w:r w:rsidR="005E33F3">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“三公”经费支出预算19.74万元，与2021年持平。</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sidR="005E33F3">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一般公共预算安排的因公出国（境）费用预算</w:t>
      </w:r>
      <w:r w:rsidR="005E33F3" w:rsidRPr="005E33F3">
        <w:rPr>
          <w:rFonts w:ascii="仿宋_GB2312" w:eastAsia="仿宋_GB2312" w:hAnsi="仿宋_GB2312" w:cs="仿宋_GB2312" w:hint="eastAsia"/>
          <w:sz w:val="32"/>
          <w:szCs w:val="32"/>
        </w:rPr>
        <w:t>0万元,同比上年无增减。</w:t>
      </w:r>
    </w:p>
    <w:p w:rsidR="00B0045E" w:rsidRDefault="005E33F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2022年一般公共预算安排的</w:t>
      </w:r>
      <w:r w:rsidR="0044217F">
        <w:rPr>
          <w:rFonts w:ascii="仿宋_GB2312" w:eastAsia="仿宋_GB2312" w:hAnsi="仿宋_GB2312" w:cs="仿宋_GB2312" w:hint="eastAsia"/>
          <w:sz w:val="32"/>
          <w:szCs w:val="32"/>
        </w:rPr>
        <w:t>公务用车运行维护费预算18.94万元，与2021年持平。</w:t>
      </w:r>
    </w:p>
    <w:p w:rsidR="00B0045E" w:rsidRPr="005E33F3" w:rsidRDefault="0044217F" w:rsidP="005E33F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sidR="005E33F3">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一般公共预算安排的公车用车购置费预算</w:t>
      </w:r>
      <w:r w:rsidR="005E33F3" w:rsidRPr="005E33F3">
        <w:rPr>
          <w:rFonts w:ascii="仿宋_GB2312" w:eastAsia="仿宋_GB2312" w:hAnsi="仿宋_GB2312" w:cs="仿宋_GB2312" w:hint="eastAsia"/>
          <w:sz w:val="32"/>
          <w:szCs w:val="32"/>
        </w:rPr>
        <w:t>0万元,同比上年无增减。</w:t>
      </w:r>
    </w:p>
    <w:p w:rsidR="00B0045E" w:rsidRDefault="005E33F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2022年一般公共预算安排的</w:t>
      </w:r>
      <w:r w:rsidR="0044217F">
        <w:rPr>
          <w:rFonts w:ascii="仿宋_GB2312" w:eastAsia="仿宋_GB2312" w:hAnsi="仿宋_GB2312" w:cs="仿宋_GB2312" w:hint="eastAsia"/>
          <w:sz w:val="32"/>
          <w:szCs w:val="32"/>
        </w:rPr>
        <w:t>公务接待费2022年预算0.80万元，与2021年预算持平。</w:t>
      </w:r>
    </w:p>
    <w:p w:rsidR="00B0045E" w:rsidRDefault="0044217F">
      <w:pPr>
        <w:spacing w:line="360" w:lineRule="auto"/>
        <w:ind w:firstLineChars="200" w:firstLine="640"/>
        <w:rPr>
          <w:rFonts w:ascii="黑体" w:eastAsia="黑体" w:hAnsi="黑体" w:cs="黑体"/>
          <w:sz w:val="32"/>
          <w:szCs w:val="32"/>
        </w:rPr>
      </w:pPr>
      <w:bookmarkStart w:id="11" w:name="_Toc1259"/>
      <w:r>
        <w:rPr>
          <w:rFonts w:ascii="黑体" w:eastAsia="黑体" w:hAnsi="黑体" w:cs="黑体" w:hint="eastAsia"/>
          <w:sz w:val="32"/>
          <w:szCs w:val="32"/>
        </w:rPr>
        <w:t>八、政府性基金预算支出情况说明</w:t>
      </w:r>
      <w:bookmarkEnd w:id="11"/>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我单位2022年预算无政府性基金预算。</w:t>
      </w:r>
    </w:p>
    <w:p w:rsidR="00B0045E" w:rsidRDefault="0044217F">
      <w:pPr>
        <w:spacing w:line="360" w:lineRule="auto"/>
        <w:ind w:firstLineChars="200" w:firstLine="640"/>
        <w:rPr>
          <w:rFonts w:ascii="黑体" w:eastAsia="黑体" w:hAnsi="黑体" w:cs="黑体"/>
          <w:sz w:val="32"/>
          <w:szCs w:val="32"/>
        </w:rPr>
      </w:pPr>
      <w:bookmarkStart w:id="12" w:name="_Toc4245"/>
      <w:r>
        <w:rPr>
          <w:rFonts w:ascii="黑体" w:eastAsia="黑体" w:hAnsi="黑体" w:cs="黑体" w:hint="eastAsia"/>
          <w:sz w:val="32"/>
          <w:szCs w:val="32"/>
        </w:rPr>
        <w:t>九、其他重要事项情况说明</w:t>
      </w:r>
      <w:bookmarkEnd w:id="12"/>
    </w:p>
    <w:p w:rsidR="00B0045E" w:rsidRDefault="0044217F">
      <w:pPr>
        <w:spacing w:line="360" w:lineRule="auto"/>
        <w:ind w:firstLineChars="200" w:firstLine="640"/>
        <w:rPr>
          <w:rFonts w:ascii="黑体" w:eastAsia="黑体" w:hAnsi="黑体" w:cs="黑体"/>
          <w:sz w:val="32"/>
          <w:szCs w:val="32"/>
        </w:rPr>
      </w:pPr>
      <w:bookmarkStart w:id="13" w:name="_Toc4923"/>
      <w:r>
        <w:rPr>
          <w:rFonts w:ascii="黑体" w:eastAsia="黑体" w:hAnsi="黑体" w:cs="黑体" w:hint="eastAsia"/>
          <w:sz w:val="32"/>
          <w:szCs w:val="32"/>
        </w:rPr>
        <w:t>（一）事业单位相关运行经费</w:t>
      </w:r>
      <w:bookmarkEnd w:id="13"/>
      <w:r>
        <w:rPr>
          <w:rFonts w:ascii="黑体" w:eastAsia="黑体" w:hAnsi="黑体" w:cs="黑体" w:hint="eastAsia"/>
          <w:sz w:val="32"/>
          <w:szCs w:val="32"/>
        </w:rPr>
        <w:t>安排情况说明</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2022年事业单位相关运行经费预算127.88万元，均为基本支出预算定额商品服务支出，同比增加0.06万元，增长0.05％。</w:t>
      </w:r>
      <w:r>
        <w:rPr>
          <w:rFonts w:ascii="仿宋_GB2312" w:eastAsia="仿宋_GB2312" w:hAnsi="仿宋_GB2312" w:cs="仿宋_GB2312" w:hint="eastAsia"/>
          <w:sz w:val="32"/>
          <w:szCs w:val="32"/>
        </w:rPr>
        <w:lastRenderedPageBreak/>
        <w:t>增加的主要原因是在编在职人员增加，工资总额增加，根据工资总额计提的工会经费等相应增加。</w:t>
      </w:r>
    </w:p>
    <w:p w:rsidR="00B0045E" w:rsidRDefault="0044217F">
      <w:pPr>
        <w:spacing w:line="360" w:lineRule="auto"/>
        <w:ind w:firstLineChars="200" w:firstLine="640"/>
        <w:rPr>
          <w:rFonts w:ascii="黑体" w:eastAsia="黑体" w:hAnsi="黑体" w:cs="黑体"/>
          <w:sz w:val="32"/>
          <w:szCs w:val="32"/>
        </w:rPr>
      </w:pPr>
      <w:bookmarkStart w:id="14" w:name="_Toc13517"/>
      <w:r>
        <w:rPr>
          <w:rFonts w:ascii="黑体" w:eastAsia="黑体" w:hAnsi="黑体" w:cs="黑体" w:hint="eastAsia"/>
          <w:sz w:val="32"/>
          <w:szCs w:val="32"/>
        </w:rPr>
        <w:t>（二）政府采购预算安排情况说明</w:t>
      </w:r>
      <w:bookmarkEnd w:id="14"/>
    </w:p>
    <w:p w:rsidR="00B0045E" w:rsidRDefault="0044217F">
      <w:pPr>
        <w:spacing w:line="360" w:lineRule="auto"/>
        <w:ind w:firstLineChars="200" w:firstLine="640"/>
        <w:rPr>
          <w:rFonts w:ascii="仿宋_GB2312" w:eastAsia="仿宋_GB2312" w:hAnsi="仿宋_GB2312" w:cs="仿宋_GB2312"/>
          <w:sz w:val="32"/>
          <w:szCs w:val="32"/>
        </w:rPr>
      </w:pPr>
      <w:bookmarkStart w:id="15" w:name="_Toc17464"/>
      <w:r>
        <w:rPr>
          <w:rFonts w:ascii="仿宋_GB2312" w:eastAsia="仿宋_GB2312" w:hAnsi="仿宋_GB2312" w:cs="仿宋_GB2312" w:hint="eastAsia"/>
          <w:sz w:val="32"/>
          <w:szCs w:val="32"/>
        </w:rPr>
        <w:t>2022年政府采购预算89.14万元，同比减少174.25万元，下降66.16％，其中：政府集中采购预算89.14万元，占政府采购预算100%；分散采购预算0万元。</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政府采购资金类型：一般公共预算拨款安排63.64万元，单位资金安排0.50万元，上年结余收入安排25万元。</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按政府采购项目类型分为货物类采购、工程类采购和服务类采购三种类型。货物类采购预算33.24万元，服务类55.90万元。</w:t>
      </w:r>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bookmarkEnd w:id="15"/>
    </w:p>
    <w:p w:rsidR="00B0045E" w:rsidRDefault="0044217F">
      <w:pPr>
        <w:spacing w:line="360" w:lineRule="auto"/>
        <w:ind w:firstLineChars="200" w:firstLine="640"/>
        <w:rPr>
          <w:rFonts w:ascii="仿宋_GB2312" w:eastAsia="仿宋_GB2312" w:hAnsi="仿宋_GB2312" w:cs="仿宋_GB2312"/>
          <w:sz w:val="32"/>
          <w:szCs w:val="32"/>
        </w:rPr>
      </w:pPr>
      <w:bookmarkStart w:id="16" w:name="_Toc10113"/>
      <w:r>
        <w:rPr>
          <w:rFonts w:ascii="仿宋_GB2312" w:eastAsia="仿宋_GB2312" w:hAnsi="仿宋_GB2312" w:cs="仿宋_GB2312" w:hint="eastAsia"/>
          <w:sz w:val="32"/>
          <w:szCs w:val="32"/>
        </w:rPr>
        <w:t>资产总额为3,596.72万元（2021年初数据），其中：固定资产3,394.67万元，无形资产10.76万元，流动资产191.29万元。</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固定资产主要有：</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房屋11,027.22平方米，主要为台站机房、业务用房和办公用房等。</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车辆情况：单位车辆编制8辆，实有车辆7辆，车辆主要用于保障广播电视发射台站运行维护。</w:t>
      </w:r>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（四）重点项目预算绩效目标等情况说明</w:t>
      </w:r>
      <w:bookmarkEnd w:id="16"/>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2022年单位预算绩效项目共有1个，项目资金为270.68万元，均用一般公共预算拨款安排。</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中央广播电视节目无线数字化覆盖运维资金270.68万元，</w:t>
      </w:r>
      <w:bookmarkStart w:id="17" w:name="_Toc16190"/>
      <w:r>
        <w:rPr>
          <w:rFonts w:ascii="仿宋_GB2312" w:eastAsia="仿宋_GB2312" w:hAnsi="仿宋_GB2312" w:cs="仿宋_GB2312" w:hint="eastAsia"/>
          <w:sz w:val="32"/>
          <w:szCs w:val="32"/>
        </w:rPr>
        <w:t>项目预算绩效目标是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第三部分：名词解释</w:t>
      </w:r>
      <w:bookmarkEnd w:id="17"/>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一、财政拨款收入：指自治区财政部门当年拨付的资金。</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二、事业收入：指事业单位开展专业业务活动及辅助活动所取得的收入。</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三、其他收入：指除上述“财政拨款收入”、“事业收入”、“经营收入”等以外的收入。</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四、年初结转和结余：指以前年度尚未完成、结转到本年按有关规定继续使用的资金。</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五、年末结转和结余：指本年度或以前年度预算安排、因客观条件发生变化无法按原计划实施，需要延迟到以后年度按有关规定继续使用的资金。</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六、基本支出：指为保障机构正常运转、完成日常工作任务而发生的人员支出和公用支出。</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七、项目支出：指在基本支出之外为完成特定行政任务和事业发展目标所发生的支出。</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0045E" w:rsidRDefault="00B0045E">
      <w:pPr>
        <w:spacing w:line="360" w:lineRule="auto"/>
        <w:ind w:firstLineChars="200" w:firstLine="640"/>
        <w:rPr>
          <w:rFonts w:ascii="仿宋_GB2312" w:eastAsia="仿宋_GB2312" w:hAnsi="仿宋_GB2312" w:cs="仿宋_GB2312"/>
          <w:sz w:val="32"/>
          <w:szCs w:val="32"/>
        </w:rPr>
      </w:pPr>
    </w:p>
    <w:p w:rsidR="00B0045E" w:rsidRDefault="0044217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第四部分：广西广播电视技术中心河池分中心</w:t>
      </w:r>
      <w:r w:rsidR="007B4630">
        <w:rPr>
          <w:rFonts w:ascii="黑体" w:eastAsia="黑体" w:hAnsi="黑体" w:cs="黑体" w:hint="eastAsia"/>
          <w:sz w:val="32"/>
          <w:szCs w:val="32"/>
        </w:rPr>
        <w:t>2022年预算公开报表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六、一般公共预算基本支出情况表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B0045E" w:rsidRDefault="0044217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详见广西广播电视技术中心河池分中心</w:t>
      </w:r>
      <w:r w:rsidR="007B4630">
        <w:rPr>
          <w:rFonts w:ascii="仿宋_GB2312" w:eastAsia="仿宋_GB2312" w:hAnsi="仿宋_GB2312" w:cs="仿宋_GB2312" w:hint="eastAsia"/>
          <w:sz w:val="32"/>
          <w:szCs w:val="32"/>
        </w:rPr>
        <w:t>2022年预算公开报表</w:t>
      </w:r>
      <w:r>
        <w:rPr>
          <w:rFonts w:ascii="仿宋_GB2312" w:eastAsia="仿宋_GB2312" w:hAnsi="仿宋_GB2312" w:cs="仿宋_GB2312" w:hint="eastAsia"/>
          <w:sz w:val="32"/>
          <w:szCs w:val="32"/>
        </w:rPr>
        <w:t>。</w:t>
      </w:r>
    </w:p>
    <w:bookmarkEnd w:id="0"/>
    <w:p w:rsidR="00B0045E" w:rsidRDefault="00B0045E">
      <w:pPr>
        <w:spacing w:line="360" w:lineRule="auto"/>
        <w:ind w:firstLineChars="200" w:firstLine="640"/>
        <w:rPr>
          <w:rFonts w:ascii="仿宋_GB2312" w:eastAsia="仿宋_GB2312" w:hAnsi="仿宋_GB2312" w:cs="仿宋_GB2312"/>
          <w:sz w:val="32"/>
          <w:szCs w:val="32"/>
        </w:rPr>
      </w:pPr>
    </w:p>
    <w:sectPr w:rsidR="00B0045E" w:rsidSect="00B0045E">
      <w:footerReference w:type="default" r:id="rId7"/>
      <w:pgSz w:w="11906" w:h="16838"/>
      <w:pgMar w:top="1440" w:right="1440" w:bottom="1440"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85" w:rsidRDefault="009C6685" w:rsidP="00B0045E">
      <w:r>
        <w:separator/>
      </w:r>
    </w:p>
  </w:endnote>
  <w:endnote w:type="continuationSeparator" w:id="1">
    <w:p w:rsidR="009C6685" w:rsidRDefault="009C6685" w:rsidP="00B00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5E" w:rsidRDefault="002E585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0045E" w:rsidRDefault="002E585B">
                <w:pPr>
                  <w:pStyle w:val="a3"/>
                </w:pPr>
                <w:r>
                  <w:rPr>
                    <w:rFonts w:hint="eastAsia"/>
                  </w:rPr>
                  <w:fldChar w:fldCharType="begin"/>
                </w:r>
                <w:r w:rsidR="0044217F">
                  <w:rPr>
                    <w:rFonts w:hint="eastAsia"/>
                  </w:rPr>
                  <w:instrText xml:space="preserve"> PAGE  \* MERGEFORMAT </w:instrText>
                </w:r>
                <w:r>
                  <w:rPr>
                    <w:rFonts w:hint="eastAsia"/>
                  </w:rPr>
                  <w:fldChar w:fldCharType="separate"/>
                </w:r>
                <w:r w:rsidR="007B463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85" w:rsidRDefault="009C6685" w:rsidP="00B0045E">
      <w:r>
        <w:separator/>
      </w:r>
    </w:p>
  </w:footnote>
  <w:footnote w:type="continuationSeparator" w:id="1">
    <w:p w:rsidR="009C6685" w:rsidRDefault="009C6685" w:rsidP="00B00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0A3AE1"/>
    <w:rsid w:val="00040DD0"/>
    <w:rsid w:val="000C76BB"/>
    <w:rsid w:val="000E0653"/>
    <w:rsid w:val="000F3656"/>
    <w:rsid w:val="000F3AC1"/>
    <w:rsid w:val="0014035F"/>
    <w:rsid w:val="001E3F6C"/>
    <w:rsid w:val="002705C6"/>
    <w:rsid w:val="002744E0"/>
    <w:rsid w:val="002972DE"/>
    <w:rsid w:val="002D5726"/>
    <w:rsid w:val="002E078E"/>
    <w:rsid w:val="002E585B"/>
    <w:rsid w:val="003979EA"/>
    <w:rsid w:val="00403438"/>
    <w:rsid w:val="0044217F"/>
    <w:rsid w:val="004A3761"/>
    <w:rsid w:val="00504F27"/>
    <w:rsid w:val="005A436B"/>
    <w:rsid w:val="005E33F3"/>
    <w:rsid w:val="006500F9"/>
    <w:rsid w:val="006B3D7A"/>
    <w:rsid w:val="00792A58"/>
    <w:rsid w:val="007B4630"/>
    <w:rsid w:val="007F344D"/>
    <w:rsid w:val="00814394"/>
    <w:rsid w:val="00872187"/>
    <w:rsid w:val="008D3521"/>
    <w:rsid w:val="00975453"/>
    <w:rsid w:val="0099665E"/>
    <w:rsid w:val="009C6685"/>
    <w:rsid w:val="00A20E09"/>
    <w:rsid w:val="00A323BC"/>
    <w:rsid w:val="00A84ACB"/>
    <w:rsid w:val="00AD4191"/>
    <w:rsid w:val="00AE36D1"/>
    <w:rsid w:val="00B0045E"/>
    <w:rsid w:val="00BF4AC4"/>
    <w:rsid w:val="00C968D5"/>
    <w:rsid w:val="00D36834"/>
    <w:rsid w:val="00D57222"/>
    <w:rsid w:val="00DA707B"/>
    <w:rsid w:val="00DB6FBC"/>
    <w:rsid w:val="00DD18F7"/>
    <w:rsid w:val="00DF6F65"/>
    <w:rsid w:val="00EC73B7"/>
    <w:rsid w:val="00F51C69"/>
    <w:rsid w:val="00FD752C"/>
    <w:rsid w:val="010A3AE1"/>
    <w:rsid w:val="01590704"/>
    <w:rsid w:val="0171289C"/>
    <w:rsid w:val="019E45F4"/>
    <w:rsid w:val="02481235"/>
    <w:rsid w:val="02791ACE"/>
    <w:rsid w:val="03E961EE"/>
    <w:rsid w:val="062B1D08"/>
    <w:rsid w:val="06A90764"/>
    <w:rsid w:val="07323234"/>
    <w:rsid w:val="07F32637"/>
    <w:rsid w:val="089535DD"/>
    <w:rsid w:val="09440775"/>
    <w:rsid w:val="0A135F2A"/>
    <w:rsid w:val="0A2173D3"/>
    <w:rsid w:val="0ABE3D08"/>
    <w:rsid w:val="0ADA5C01"/>
    <w:rsid w:val="0BB3666E"/>
    <w:rsid w:val="0BC94714"/>
    <w:rsid w:val="0C030754"/>
    <w:rsid w:val="0C5B40EC"/>
    <w:rsid w:val="0DCB267E"/>
    <w:rsid w:val="0F4551ED"/>
    <w:rsid w:val="104E2E78"/>
    <w:rsid w:val="10765998"/>
    <w:rsid w:val="12442B34"/>
    <w:rsid w:val="141474CF"/>
    <w:rsid w:val="145C1FD9"/>
    <w:rsid w:val="14802C1D"/>
    <w:rsid w:val="14FA1EFE"/>
    <w:rsid w:val="15292B87"/>
    <w:rsid w:val="173F7D25"/>
    <w:rsid w:val="1756575E"/>
    <w:rsid w:val="17BC0A6F"/>
    <w:rsid w:val="17CA1304"/>
    <w:rsid w:val="181C6F63"/>
    <w:rsid w:val="187414A4"/>
    <w:rsid w:val="18AE26A8"/>
    <w:rsid w:val="191F44FF"/>
    <w:rsid w:val="1A84165A"/>
    <w:rsid w:val="1B855BC5"/>
    <w:rsid w:val="1C91275E"/>
    <w:rsid w:val="1CBE3AE1"/>
    <w:rsid w:val="1CF60AE2"/>
    <w:rsid w:val="1DC11640"/>
    <w:rsid w:val="1DC43106"/>
    <w:rsid w:val="1E0F36AA"/>
    <w:rsid w:val="1E127B5F"/>
    <w:rsid w:val="1E824B93"/>
    <w:rsid w:val="1EDA1621"/>
    <w:rsid w:val="1F3F2382"/>
    <w:rsid w:val="1FC34D6B"/>
    <w:rsid w:val="1FEB1223"/>
    <w:rsid w:val="210C741A"/>
    <w:rsid w:val="21303926"/>
    <w:rsid w:val="21642973"/>
    <w:rsid w:val="218A78E9"/>
    <w:rsid w:val="21D06E06"/>
    <w:rsid w:val="225374A7"/>
    <w:rsid w:val="22C8320F"/>
    <w:rsid w:val="233A2855"/>
    <w:rsid w:val="235D1C2D"/>
    <w:rsid w:val="23D81C52"/>
    <w:rsid w:val="253C2FB2"/>
    <w:rsid w:val="25BB578B"/>
    <w:rsid w:val="268F456F"/>
    <w:rsid w:val="27B71769"/>
    <w:rsid w:val="27D74B17"/>
    <w:rsid w:val="289B6C5B"/>
    <w:rsid w:val="2A613F8E"/>
    <w:rsid w:val="2A7E4349"/>
    <w:rsid w:val="2A872443"/>
    <w:rsid w:val="2AB61290"/>
    <w:rsid w:val="2BE30AF1"/>
    <w:rsid w:val="2D9D2698"/>
    <w:rsid w:val="2E4427DA"/>
    <w:rsid w:val="2E876B6B"/>
    <w:rsid w:val="303C0F21"/>
    <w:rsid w:val="309E40FD"/>
    <w:rsid w:val="316000CA"/>
    <w:rsid w:val="32155D59"/>
    <w:rsid w:val="323E5D53"/>
    <w:rsid w:val="328D607A"/>
    <w:rsid w:val="335F00B6"/>
    <w:rsid w:val="33CF6FEA"/>
    <w:rsid w:val="34080B9D"/>
    <w:rsid w:val="368A1293"/>
    <w:rsid w:val="36E606F7"/>
    <w:rsid w:val="36EF34FF"/>
    <w:rsid w:val="379F2C0E"/>
    <w:rsid w:val="3AA7481D"/>
    <w:rsid w:val="3AB74334"/>
    <w:rsid w:val="3E153518"/>
    <w:rsid w:val="3E532320"/>
    <w:rsid w:val="3E992FDA"/>
    <w:rsid w:val="3F5605BF"/>
    <w:rsid w:val="3F640F4C"/>
    <w:rsid w:val="3FE515F5"/>
    <w:rsid w:val="40EF292C"/>
    <w:rsid w:val="40F55BB6"/>
    <w:rsid w:val="41C07B65"/>
    <w:rsid w:val="41DA7286"/>
    <w:rsid w:val="4292555C"/>
    <w:rsid w:val="430B16C1"/>
    <w:rsid w:val="430F14E3"/>
    <w:rsid w:val="4499224E"/>
    <w:rsid w:val="46FD5CF0"/>
    <w:rsid w:val="471436D4"/>
    <w:rsid w:val="492434DC"/>
    <w:rsid w:val="4970227E"/>
    <w:rsid w:val="4AD8632C"/>
    <w:rsid w:val="4B616322"/>
    <w:rsid w:val="4B9304A5"/>
    <w:rsid w:val="4C494349"/>
    <w:rsid w:val="4C6E37B0"/>
    <w:rsid w:val="4D2A6491"/>
    <w:rsid w:val="4D4F01C4"/>
    <w:rsid w:val="4D510618"/>
    <w:rsid w:val="4F0556F1"/>
    <w:rsid w:val="4F49155A"/>
    <w:rsid w:val="4F8A57E8"/>
    <w:rsid w:val="4FE240E0"/>
    <w:rsid w:val="4FF87308"/>
    <w:rsid w:val="508F0E90"/>
    <w:rsid w:val="50965847"/>
    <w:rsid w:val="509B1B7B"/>
    <w:rsid w:val="51136310"/>
    <w:rsid w:val="5121000E"/>
    <w:rsid w:val="5293736E"/>
    <w:rsid w:val="5323562D"/>
    <w:rsid w:val="54056553"/>
    <w:rsid w:val="56527F46"/>
    <w:rsid w:val="56731D10"/>
    <w:rsid w:val="56B55738"/>
    <w:rsid w:val="57CC325D"/>
    <w:rsid w:val="58330F6D"/>
    <w:rsid w:val="59B25B4B"/>
    <w:rsid w:val="59BB0071"/>
    <w:rsid w:val="5A0A6E8B"/>
    <w:rsid w:val="5A881045"/>
    <w:rsid w:val="5AF656EA"/>
    <w:rsid w:val="5B9E7FD0"/>
    <w:rsid w:val="5BE556B5"/>
    <w:rsid w:val="5C33637E"/>
    <w:rsid w:val="5CFB62D5"/>
    <w:rsid w:val="5D04794F"/>
    <w:rsid w:val="5D093636"/>
    <w:rsid w:val="5D1872E8"/>
    <w:rsid w:val="5D1A27D4"/>
    <w:rsid w:val="5E586060"/>
    <w:rsid w:val="5EF15CB6"/>
    <w:rsid w:val="60FD48E7"/>
    <w:rsid w:val="62204917"/>
    <w:rsid w:val="624555BD"/>
    <w:rsid w:val="62532C70"/>
    <w:rsid w:val="62826DBA"/>
    <w:rsid w:val="62AD636E"/>
    <w:rsid w:val="638639F6"/>
    <w:rsid w:val="64D911C7"/>
    <w:rsid w:val="64E475B4"/>
    <w:rsid w:val="651567B5"/>
    <w:rsid w:val="659A2704"/>
    <w:rsid w:val="66A94E58"/>
    <w:rsid w:val="66BF6EB7"/>
    <w:rsid w:val="67924AEB"/>
    <w:rsid w:val="68A71A23"/>
    <w:rsid w:val="6987277C"/>
    <w:rsid w:val="69B85C32"/>
    <w:rsid w:val="6A1A2402"/>
    <w:rsid w:val="6B5A4D92"/>
    <w:rsid w:val="6C871509"/>
    <w:rsid w:val="6D331B6A"/>
    <w:rsid w:val="6D576F4D"/>
    <w:rsid w:val="6DAC4193"/>
    <w:rsid w:val="6DEE435E"/>
    <w:rsid w:val="6DF041F3"/>
    <w:rsid w:val="6E2B07F4"/>
    <w:rsid w:val="6E7B608D"/>
    <w:rsid w:val="6EBA0437"/>
    <w:rsid w:val="6EDB2EFE"/>
    <w:rsid w:val="6F2F0E8B"/>
    <w:rsid w:val="6F3C4CC8"/>
    <w:rsid w:val="6FCA7CA7"/>
    <w:rsid w:val="6FD70CA6"/>
    <w:rsid w:val="7208552E"/>
    <w:rsid w:val="7222005C"/>
    <w:rsid w:val="72723130"/>
    <w:rsid w:val="73352E20"/>
    <w:rsid w:val="74016FFC"/>
    <w:rsid w:val="74820F33"/>
    <w:rsid w:val="762F16BB"/>
    <w:rsid w:val="76340B23"/>
    <w:rsid w:val="7715649E"/>
    <w:rsid w:val="774C246C"/>
    <w:rsid w:val="781202C6"/>
    <w:rsid w:val="782E6FB7"/>
    <w:rsid w:val="785726D7"/>
    <w:rsid w:val="790D4973"/>
    <w:rsid w:val="79106856"/>
    <w:rsid w:val="7A295D91"/>
    <w:rsid w:val="7AE71AF0"/>
    <w:rsid w:val="7AF22D8C"/>
    <w:rsid w:val="7B2F1EDD"/>
    <w:rsid w:val="7E1E238C"/>
    <w:rsid w:val="7E5929A5"/>
    <w:rsid w:val="7F7F20D2"/>
    <w:rsid w:val="7F823D6D"/>
    <w:rsid w:val="7FF35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45E"/>
    <w:pPr>
      <w:widowControl w:val="0"/>
      <w:jc w:val="both"/>
    </w:pPr>
    <w:rPr>
      <w:rFonts w:asciiTheme="minorHAnsi" w:eastAsiaTheme="minorEastAsia" w:hAnsiTheme="minorHAnsi" w:cstheme="minorBidi"/>
      <w:sz w:val="21"/>
      <w:szCs w:val="22"/>
    </w:rPr>
  </w:style>
  <w:style w:type="paragraph" w:styleId="1">
    <w:name w:val="heading 1"/>
    <w:basedOn w:val="a"/>
    <w:next w:val="a"/>
    <w:link w:val="1Char"/>
    <w:qFormat/>
    <w:rsid w:val="00B0045E"/>
    <w:pPr>
      <w:keepNext/>
      <w:keepLines/>
      <w:spacing w:before="340" w:after="330" w:line="576" w:lineRule="auto"/>
      <w:outlineLvl w:val="0"/>
    </w:pPr>
    <w:rPr>
      <w:b/>
      <w:kern w:val="44"/>
      <w:sz w:val="44"/>
    </w:rPr>
  </w:style>
  <w:style w:type="paragraph" w:styleId="2">
    <w:name w:val="heading 2"/>
    <w:basedOn w:val="a"/>
    <w:next w:val="a"/>
    <w:unhideWhenUsed/>
    <w:qFormat/>
    <w:rsid w:val="00B0045E"/>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B0045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B0045E"/>
    <w:pPr>
      <w:ind w:leftChars="400" w:left="840"/>
    </w:pPr>
  </w:style>
  <w:style w:type="paragraph" w:styleId="a3">
    <w:name w:val="footer"/>
    <w:basedOn w:val="a"/>
    <w:qFormat/>
    <w:rsid w:val="00B0045E"/>
    <w:pPr>
      <w:tabs>
        <w:tab w:val="center" w:pos="4153"/>
        <w:tab w:val="right" w:pos="8306"/>
      </w:tabs>
      <w:snapToGrid w:val="0"/>
      <w:jc w:val="left"/>
    </w:pPr>
    <w:rPr>
      <w:sz w:val="18"/>
    </w:rPr>
  </w:style>
  <w:style w:type="paragraph" w:styleId="a4">
    <w:name w:val="header"/>
    <w:basedOn w:val="a"/>
    <w:qFormat/>
    <w:rsid w:val="00B004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0045E"/>
  </w:style>
  <w:style w:type="paragraph" w:styleId="20">
    <w:name w:val="toc 2"/>
    <w:basedOn w:val="a"/>
    <w:next w:val="a"/>
    <w:qFormat/>
    <w:rsid w:val="00B0045E"/>
    <w:pPr>
      <w:ind w:leftChars="200" w:left="420"/>
    </w:pPr>
  </w:style>
  <w:style w:type="character" w:styleId="a5">
    <w:name w:val="page number"/>
    <w:basedOn w:val="a0"/>
    <w:qFormat/>
    <w:rsid w:val="00B0045E"/>
  </w:style>
  <w:style w:type="character" w:customStyle="1" w:styleId="1Char">
    <w:name w:val="标题 1 Char"/>
    <w:link w:val="1"/>
    <w:qFormat/>
    <w:rsid w:val="00B0045E"/>
    <w:rPr>
      <w:b/>
      <w:kern w:val="44"/>
      <w:sz w:val="44"/>
    </w:rPr>
  </w:style>
  <w:style w:type="paragraph" w:customStyle="1" w:styleId="WPSOffice1">
    <w:name w:val="WPSOffice手动目录 1"/>
    <w:qFormat/>
    <w:rsid w:val="00B0045E"/>
    <w:rPr>
      <w:rFonts w:asciiTheme="minorHAnsi" w:eastAsiaTheme="minorEastAsia" w:hAnsiTheme="minorHAnsi" w:cstheme="minorBidi"/>
    </w:rPr>
  </w:style>
  <w:style w:type="paragraph" w:customStyle="1" w:styleId="WPSOffice2">
    <w:name w:val="WPSOffice手动目录 2"/>
    <w:qFormat/>
    <w:rsid w:val="00B0045E"/>
    <w:pPr>
      <w:ind w:leftChars="200" w:left="200"/>
    </w:pPr>
    <w:rPr>
      <w:rFonts w:asciiTheme="minorHAnsi" w:eastAsiaTheme="minorEastAsia" w:hAnsiTheme="minorHAnsi" w:cstheme="minorBidi"/>
    </w:rPr>
  </w:style>
  <w:style w:type="paragraph" w:customStyle="1" w:styleId="WPSOffice3">
    <w:name w:val="WPSOffice手动目录 3"/>
    <w:qFormat/>
    <w:rsid w:val="00B0045E"/>
    <w:pPr>
      <w:ind w:leftChars="400" w:left="4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728</Words>
  <Characters>4153</Characters>
  <Application>Microsoft Office Word</Application>
  <DocSecurity>0</DocSecurity>
  <Lines>34</Lines>
  <Paragraphs>9</Paragraphs>
  <ScaleCrop>false</ScaleCrop>
  <Company>Hewlett-Packard Company</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小树</dc:creator>
  <cp:lastModifiedBy>Administrator</cp:lastModifiedBy>
  <cp:revision>25</cp:revision>
  <cp:lastPrinted>2022-02-23T06:54:00Z</cp:lastPrinted>
  <dcterms:created xsi:type="dcterms:W3CDTF">2021-02-08T08:24:00Z</dcterms:created>
  <dcterms:modified xsi:type="dcterms:W3CDTF">2022-02-24T03:13:00Z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7646C5938F784C4B86C107AA53E4F6D3</vt:lpwstr>
  </property>
</Properties>
</file>