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B2" w:rsidRDefault="00F65F9F">
      <w:pPr>
        <w:spacing w:line="360" w:lineRule="auto"/>
        <w:ind w:firstLineChars="200" w:firstLine="880"/>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广西广播电视技术中心河池分中心</w:t>
      </w:r>
    </w:p>
    <w:p w:rsidR="00A20CB2" w:rsidRDefault="00F65F9F">
      <w:pPr>
        <w:spacing w:line="360" w:lineRule="auto"/>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w:t>
      </w:r>
      <w:r w:rsidR="006276D2">
        <w:rPr>
          <w:rFonts w:ascii="方正小标宋简体" w:eastAsia="方正小标宋简体" w:hAnsi="方正小标宋简体" w:cs="方正小标宋简体" w:hint="eastAsia"/>
          <w:sz w:val="44"/>
          <w:szCs w:val="44"/>
        </w:rPr>
        <w:t>单位</w:t>
      </w:r>
      <w:r>
        <w:rPr>
          <w:rFonts w:ascii="方正小标宋简体" w:eastAsia="方正小标宋简体" w:hAnsi="方正小标宋简体" w:cs="方正小标宋简体" w:hint="eastAsia"/>
          <w:sz w:val="44"/>
          <w:szCs w:val="44"/>
        </w:rPr>
        <w:t>预算公开</w:t>
      </w:r>
    </w:p>
    <w:p w:rsidR="00A20CB2" w:rsidRDefault="00A20CB2">
      <w:pPr>
        <w:spacing w:line="360" w:lineRule="auto"/>
        <w:ind w:firstLineChars="200" w:firstLine="640"/>
        <w:jc w:val="center"/>
        <w:rPr>
          <w:rFonts w:ascii="黑体" w:eastAsia="黑体" w:hAnsi="黑体" w:cs="黑体"/>
          <w:sz w:val="32"/>
          <w:szCs w:val="32"/>
        </w:rPr>
      </w:pPr>
    </w:p>
    <w:p w:rsidR="00A20CB2" w:rsidRDefault="00F65F9F">
      <w:pPr>
        <w:adjustRightInd w:val="0"/>
        <w:snapToGrid w:val="0"/>
        <w:spacing w:line="600" w:lineRule="exact"/>
        <w:ind w:rightChars="-104" w:right="-218"/>
        <w:jc w:val="center"/>
        <w:rPr>
          <w:rFonts w:ascii="黑体" w:eastAsia="黑体" w:hAnsi="黑体" w:cs="黑体"/>
          <w:bCs/>
          <w:sz w:val="32"/>
          <w:szCs w:val="32"/>
        </w:rPr>
      </w:pPr>
      <w:r>
        <w:rPr>
          <w:rFonts w:ascii="黑体" w:eastAsia="黑体" w:hAnsi="黑体" w:cs="黑体" w:hint="eastAsia"/>
          <w:bCs/>
          <w:sz w:val="32"/>
          <w:szCs w:val="32"/>
        </w:rPr>
        <w:t>目  录</w:t>
      </w:r>
    </w:p>
    <w:p w:rsidR="00A20CB2" w:rsidRDefault="00A20CB2">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A20CB2" w:rsidRDefault="00F65F9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第一部分：单位概况</w:t>
      </w:r>
    </w:p>
    <w:p w:rsidR="00A20CB2" w:rsidRDefault="00F65F9F">
      <w:pPr>
        <w:adjustRightInd w:val="0"/>
        <w:snapToGrid w:val="0"/>
        <w:spacing w:line="600" w:lineRule="exact"/>
        <w:ind w:rightChars="-104" w:right="-218"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sz w:val="32"/>
          <w:szCs w:val="32"/>
        </w:rPr>
        <w:t>、主要职能</w:t>
      </w:r>
    </w:p>
    <w:p w:rsidR="00A20CB2" w:rsidRDefault="00F65F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二、机构设置情况</w:t>
      </w:r>
    </w:p>
    <w:p w:rsidR="00A20CB2" w:rsidRDefault="00A20CB2">
      <w:pPr>
        <w:adjustRightInd w:val="0"/>
        <w:snapToGrid w:val="0"/>
        <w:spacing w:line="600" w:lineRule="exact"/>
        <w:ind w:rightChars="-104" w:right="-218" w:firstLineChars="200" w:firstLine="640"/>
        <w:rPr>
          <w:rFonts w:ascii="仿宋_GB2312" w:eastAsia="仿宋_GB2312" w:hAnsi="仿宋_GB2312" w:cs="仿宋_GB2312"/>
          <w:bCs/>
          <w:sz w:val="32"/>
          <w:szCs w:val="32"/>
        </w:rPr>
      </w:pPr>
    </w:p>
    <w:p w:rsidR="00A20CB2" w:rsidRDefault="00F65F9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第二部分：广西广播电视技术中心河池分中心2023年单位预算情况说明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十、其他重要事项情况说明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（一）事业单位相关运行经费安排情况说明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（二）政府采购预算安排情况说明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（三）国有资产占用情况说明</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（四）重点项目预算绩效目标等情况说明</w:t>
      </w:r>
    </w:p>
    <w:p w:rsidR="00A20CB2" w:rsidRDefault="00A20CB2">
      <w:pPr>
        <w:adjustRightInd w:val="0"/>
        <w:snapToGrid w:val="0"/>
        <w:spacing w:line="600" w:lineRule="exact"/>
        <w:ind w:rightChars="-104" w:right="-218"/>
        <w:rPr>
          <w:rFonts w:ascii="仿宋_GB2312" w:eastAsia="仿宋_GB2312" w:hAnsi="仿宋_GB2312" w:cs="仿宋_GB2312"/>
          <w:bCs/>
          <w:sz w:val="32"/>
          <w:szCs w:val="32"/>
        </w:rPr>
      </w:pPr>
    </w:p>
    <w:p w:rsidR="00A20CB2" w:rsidRDefault="00F65F9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第三部分：名词解释</w:t>
      </w:r>
    </w:p>
    <w:p w:rsidR="00A20CB2" w:rsidRDefault="00A20CB2">
      <w:pPr>
        <w:adjustRightInd w:val="0"/>
        <w:snapToGrid w:val="0"/>
        <w:spacing w:line="600" w:lineRule="exact"/>
        <w:ind w:rightChars="-104" w:right="-218" w:firstLineChars="200" w:firstLine="643"/>
        <w:rPr>
          <w:rFonts w:ascii="黑体" w:eastAsia="黑体" w:hAnsi="黑体" w:cs="黑体"/>
          <w:b/>
          <w:sz w:val="32"/>
          <w:szCs w:val="32"/>
        </w:rPr>
      </w:pPr>
    </w:p>
    <w:p w:rsidR="00A20CB2" w:rsidRDefault="00F65F9F">
      <w:pPr>
        <w:adjustRightInd w:val="0"/>
        <w:snapToGrid w:val="0"/>
        <w:spacing w:line="600" w:lineRule="exact"/>
        <w:ind w:rightChars="-104" w:right="-218"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第四部分：广西广播电视技术中心河池分中心2023年</w:t>
      </w:r>
      <w:r w:rsidR="006276D2">
        <w:rPr>
          <w:rFonts w:ascii="黑体" w:eastAsia="黑体" w:hAnsi="黑体" w:cs="黑体" w:hint="eastAsia"/>
          <w:sz w:val="32"/>
          <w:szCs w:val="32"/>
        </w:rPr>
        <w:t>单位</w:t>
      </w:r>
      <w:r>
        <w:rPr>
          <w:rFonts w:ascii="黑体" w:eastAsia="黑体" w:hAnsi="黑体" w:cs="黑体" w:hint="eastAsia"/>
          <w:sz w:val="32"/>
          <w:szCs w:val="32"/>
        </w:rPr>
        <w:t>预算</w:t>
      </w:r>
      <w:r w:rsidR="006276D2">
        <w:rPr>
          <w:rFonts w:ascii="黑体" w:eastAsia="黑体" w:hAnsi="黑体" w:cs="黑体" w:hint="eastAsia"/>
          <w:sz w:val="32"/>
          <w:szCs w:val="32"/>
        </w:rPr>
        <w:t>公开</w:t>
      </w:r>
      <w:r>
        <w:rPr>
          <w:rFonts w:ascii="黑体" w:eastAsia="黑体" w:hAnsi="黑体" w:cs="黑体" w:hint="eastAsia"/>
          <w:sz w:val="32"/>
          <w:szCs w:val="32"/>
        </w:rPr>
        <w:t>报表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七、财政拨款“三公”经费、会议费和培训费支出情况表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九、国有资本经营预算支出情况表</w:t>
      </w:r>
    </w:p>
    <w:p w:rsidR="00A20CB2" w:rsidRDefault="00F65F9F">
      <w:pPr>
        <w:adjustRightInd w:val="0"/>
        <w:snapToGrid w:val="0"/>
        <w:spacing w:line="600" w:lineRule="exact"/>
        <w:ind w:rightChars="-104" w:right="-218"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十、2023年度预算项目绩效目标公开表</w:t>
      </w: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F65F9F">
      <w:pPr>
        <w:spacing w:line="360" w:lineRule="auto"/>
        <w:ind w:firstLineChars="200" w:firstLine="640"/>
        <w:rPr>
          <w:rFonts w:ascii="黑体" w:eastAsia="黑体" w:hAnsi="黑体" w:cs="黑体"/>
          <w:sz w:val="32"/>
          <w:szCs w:val="32"/>
        </w:rPr>
      </w:pPr>
      <w:bookmarkStart w:id="1" w:name="_Toc12460"/>
      <w:r>
        <w:rPr>
          <w:rFonts w:ascii="黑体" w:eastAsia="黑体" w:hAnsi="黑体" w:cs="黑体" w:hint="eastAsia"/>
          <w:sz w:val="32"/>
          <w:szCs w:val="32"/>
        </w:rPr>
        <w:lastRenderedPageBreak/>
        <w:t>第一部分：单位概况</w:t>
      </w:r>
      <w:bookmarkEnd w:id="1"/>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一、主要职责</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负责广播电视信号的当地范围传输、转播、发射，承担所辖广播电视无线发射台站设备维护管理；承担所辖区域实验广播、应急广播业务开展以及新闻出版广播影视新媒体新业务（无线）的集成分发。</w:t>
      </w: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二、机构设置情况</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广西广播电视技术中心河池分中心为三级预算单位，隶属于广西壮族自治区广播电视局。其内设机构办公室、河池中波台维护部、二五0台维护部、宜州维护部、凤山维护部以及村村通维护部共6个部门。</w:t>
      </w:r>
      <w:bookmarkStart w:id="2" w:name="_Toc18228"/>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西广播电视技术中心河池分中心人员编制73人（其中:事业编制71人，机关后勤服务中心控制数2人）。纳入单位预算编制内实有在职人员61人（其中：事业编制在职人数61人，控制数实有人数0人）比上年增加2人，退休人员32人，比上年增加1人，均为财政供养人员。</w:t>
      </w: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F65F9F">
      <w:pPr>
        <w:spacing w:line="360" w:lineRule="auto"/>
        <w:ind w:firstLineChars="200" w:firstLine="640"/>
        <w:rPr>
          <w:rFonts w:ascii="黑体" w:eastAsia="黑体" w:hAnsi="黑体" w:cs="黑体"/>
          <w:sz w:val="32"/>
          <w:szCs w:val="32"/>
        </w:rPr>
      </w:pPr>
      <w:bookmarkStart w:id="3" w:name="_Toc1183"/>
      <w:bookmarkEnd w:id="2"/>
      <w:r>
        <w:rPr>
          <w:rFonts w:ascii="黑体" w:eastAsia="黑体" w:hAnsi="黑体" w:cs="黑体" w:hint="eastAsia"/>
          <w:sz w:val="32"/>
          <w:szCs w:val="32"/>
        </w:rPr>
        <w:t>第二部分：广西广播电视技术中心河池分中心2023年单位预算情况说明</w:t>
      </w:r>
    </w:p>
    <w:p w:rsidR="00A20CB2" w:rsidRDefault="00F65F9F">
      <w:pPr>
        <w:spacing w:line="360" w:lineRule="auto"/>
        <w:ind w:firstLineChars="200" w:firstLine="640"/>
        <w:rPr>
          <w:rFonts w:ascii="黑体" w:eastAsia="黑体" w:hAnsi="黑体" w:cs="黑体"/>
          <w:sz w:val="32"/>
          <w:szCs w:val="32"/>
        </w:rPr>
      </w:pPr>
      <w:bookmarkStart w:id="4" w:name="_Toc17463"/>
      <w:bookmarkEnd w:id="3"/>
      <w:r>
        <w:rPr>
          <w:rFonts w:ascii="黑体" w:eastAsia="黑体" w:hAnsi="黑体" w:cs="黑体" w:hint="eastAsia"/>
          <w:sz w:val="32"/>
          <w:szCs w:val="32"/>
        </w:rPr>
        <w:t>一、单位收支总体情况说明</w:t>
      </w:r>
      <w:bookmarkEnd w:id="4"/>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2023年收入总预算1,952.08万元，同比上年减少46.33万元，下降2.32%。</w:t>
      </w:r>
    </w:p>
    <w:p w:rsidR="00A20CB2" w:rsidRDefault="00F65F9F">
      <w:pPr>
        <w:tabs>
          <w:tab w:val="center" w:pos="4475"/>
        </w:tabs>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2023年收入总预算总体减少的主要原因：一是在职人员绩效工资核定总额减少以及以其为基数计算的养老保险、职业年金、医疗保</w:t>
      </w:r>
      <w:r>
        <w:rPr>
          <w:rFonts w:ascii="仿宋_GB2312" w:eastAsia="仿宋_GB2312" w:hAnsi="宋体" w:cs="宋体" w:hint="eastAsia"/>
          <w:sz w:val="32"/>
          <w:szCs w:val="32"/>
        </w:rPr>
        <w:t>险、住房公积金等相应减少；二是根据2023年度工作计划，项目支出经费比上年减少。</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2023年支出预算1,952.08万元，同比上年减少46.33万元，下降2.32%。</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支出减少的主要原因与收入减少的原因相同。</w:t>
      </w:r>
    </w:p>
    <w:p w:rsidR="00A20CB2" w:rsidRDefault="00F65F9F">
      <w:pPr>
        <w:spacing w:line="360" w:lineRule="auto"/>
        <w:ind w:firstLineChars="200" w:firstLine="640"/>
        <w:rPr>
          <w:rFonts w:ascii="黑体" w:eastAsia="黑体" w:hAnsi="黑体" w:cs="黑体"/>
          <w:b/>
          <w:bCs/>
          <w:sz w:val="32"/>
          <w:szCs w:val="32"/>
        </w:rPr>
      </w:pPr>
      <w:bookmarkStart w:id="5" w:name="_Toc19869"/>
      <w:r>
        <w:rPr>
          <w:rFonts w:ascii="黑体" w:eastAsia="黑体" w:hAnsi="黑体" w:cs="黑体" w:hint="eastAsia"/>
          <w:sz w:val="32"/>
          <w:szCs w:val="32"/>
        </w:rPr>
        <w:t>二、单位收入总体情况说明</w:t>
      </w:r>
      <w:bookmarkEnd w:id="5"/>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2023年收入预算1,952.08万元，同比上年减少46.33万元，下降2.32%。</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（一）一般公共预算拨款增（减）原因</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一般公共预算拨款1,907.57万元，同比上年减少19.05万元，下降0.99%。</w:t>
      </w:r>
    </w:p>
    <w:p w:rsidR="00A20CB2" w:rsidRDefault="00F65F9F">
      <w:pPr>
        <w:spacing w:line="360" w:lineRule="auto"/>
        <w:ind w:firstLineChars="200" w:firstLine="640"/>
        <w:rPr>
          <w:rFonts w:ascii="仿宋_GB2312" w:eastAsia="仿宋_GB2312" w:hAnsi="宋体" w:cs="宋体"/>
          <w:sz w:val="32"/>
          <w:szCs w:val="32"/>
        </w:rPr>
      </w:pPr>
      <w:r>
        <w:rPr>
          <w:rFonts w:ascii="仿宋_GB2312" w:eastAsia="仿宋_GB2312" w:hAnsi="仿宋_GB2312" w:cs="仿宋_GB2312" w:hint="eastAsia"/>
          <w:sz w:val="32"/>
          <w:szCs w:val="32"/>
        </w:rPr>
        <w:t>减少的主要原因：一是在职人员绩效工资核定总额减少以及以其为基数计算的养老保险、职业年金、医疗保</w:t>
      </w:r>
      <w:r>
        <w:rPr>
          <w:rFonts w:ascii="仿宋_GB2312" w:eastAsia="仿宋_GB2312" w:hAnsi="宋体" w:cs="宋体" w:hint="eastAsia"/>
          <w:sz w:val="32"/>
          <w:szCs w:val="32"/>
        </w:rPr>
        <w:t>险、住房公积金等相应减少；二是根据2023年度工作计划，项目支出经费比上年减少。</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（二）其他收入减少原因</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其他收入14.51万元，同比减少2.28万元，下降13.58%。</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减少的主要原因是房租收入减少。</w:t>
      </w:r>
    </w:p>
    <w:p w:rsidR="00A20CB2" w:rsidRDefault="00F65F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（三）上年结转结余减少原因</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上年结余收入30万元，同比减少25万元，下降45.45%。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减少的主要原因是2022年加大力度清理结转结余资金，资金结余较上年减少。</w:t>
      </w:r>
    </w:p>
    <w:p w:rsidR="00A20CB2" w:rsidRDefault="00F65F9F">
      <w:pPr>
        <w:spacing w:line="360" w:lineRule="auto"/>
        <w:ind w:firstLineChars="200" w:firstLine="640"/>
        <w:rPr>
          <w:rFonts w:ascii="黑体" w:eastAsia="黑体" w:hAnsi="黑体" w:cs="黑体"/>
          <w:sz w:val="32"/>
          <w:szCs w:val="32"/>
        </w:rPr>
      </w:pPr>
      <w:bookmarkStart w:id="6" w:name="_Toc15696"/>
      <w:r>
        <w:rPr>
          <w:rFonts w:ascii="黑体" w:eastAsia="黑体" w:hAnsi="黑体" w:cs="黑体" w:hint="eastAsia"/>
          <w:sz w:val="32"/>
          <w:szCs w:val="32"/>
        </w:rPr>
        <w:t>三、单位支出总体情况说明</w:t>
      </w:r>
      <w:bookmarkEnd w:id="6"/>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2023年支出预算1,952.08万元，同比上年减少46.33万元，下降2.32%。</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按支出结构分类划分，分为基本支出预算和项目支出预算。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基本支出预算1,250.40万元，占支出总预算64.05%，同比减少20.87万元，下降1.64%。其中：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工资福利支出1,039.78万元，占支出总预算53.27%，同比减少25.92万元，下降2.43%。</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商品和服务支出131.88万元，占支出总预算6.76%，同比增加4万元，增长3.13%。</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个人和家庭补助支出78.74万元，占支出总预算4.03%，同比增加1.05万元，增长1.35%。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2023年项目支出预算701.68万元，占支出总预算35.95%，同比减少25.46万元，下降3.50%。</w:t>
      </w:r>
      <w:bookmarkStart w:id="7" w:name="_Toc23864"/>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四、财政拨款收支总体情况说明</w:t>
      </w:r>
      <w:bookmarkEnd w:id="7"/>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财政拨款总预算1,907.57万元，同比减少19.05万元，下降0.99%。</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（一）按照支出功能分类科目划分，共分为4类，其中：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文化旅游体育与传媒支出1,537.85万元，占支出总预算80.62%，同比减少12.68万元，下降0.82%。</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社会保障和就业支出205.06万元，占支出总预算10.75%，同比减少3.01万元，下降1.45%。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卫生健康支出80.99万元，占支出总预算4.25%，同比减少1.19万元，下降1.45%。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住房保障支出83.67万元，占支出总预算4.39%，同比减少2.18万元，下降2.54%。</w:t>
      </w:r>
    </w:p>
    <w:p w:rsidR="00A20CB2" w:rsidRDefault="00F65F9F">
      <w:pPr>
        <w:spacing w:line="360" w:lineRule="auto"/>
        <w:ind w:firstLineChars="200" w:firstLine="640"/>
        <w:rPr>
          <w:rFonts w:ascii="黑体" w:eastAsia="黑体" w:hAnsi="黑体" w:cs="黑体"/>
          <w:sz w:val="32"/>
          <w:szCs w:val="32"/>
        </w:rPr>
      </w:pPr>
      <w:bookmarkStart w:id="8" w:name="_Toc14443"/>
      <w:r>
        <w:rPr>
          <w:rFonts w:ascii="黑体" w:eastAsia="黑体" w:hAnsi="黑体" w:cs="黑体" w:hint="eastAsia"/>
          <w:sz w:val="32"/>
          <w:szCs w:val="32"/>
        </w:rPr>
        <w:t>五、一般公共预算支出情况说明</w:t>
      </w:r>
      <w:bookmarkEnd w:id="8"/>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一般公共预算拨款支出1,907.57万元，同比减少19.05万元，下降0.99%。</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（一）按照支出功能分类科目划分，共分为4类，其中：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文化旅游体育与传媒支出1,537.85万元，占支出总预算80.62%，同比减少12.68万元，下降0.82%。</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社会保障和就业支出205.06万元，占支出总预算10.75%，同比减少3.01万元，下降1.45%。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卫生健康支出80.99万元，占支出总预算4.25%，同比减少1.19万元，下降1.45%。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住房保障支出83.67万元，占支出总预算4.39%，同比减少2.18万元，下降2.54%。</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（二）按支出结构分类划分，分为基本支出预算和项目支出预算。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1.基本支出预算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基本支出预算1,250.40万元，占支出总预算65.55%，同比减少20.87万元，下降1.64%。其中：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工资福利支出1,039.78万元，占支出总预算54.51%，同比减少25.92万元，下降2.43%。</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商品和服务支出131.88万元，占支出总预算6.91%，同比增加4万元，增长3.13%。</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个人和家庭补助支出78.74万元，占支出总预算4.13%，同比增加1.05万元，增长1.35%。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2.项目支出预算</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项目支出657.17万元，占支出总预算34.45%，同比减少25.46万元，下降3.50%。</w:t>
      </w:r>
    </w:p>
    <w:p w:rsidR="00A20CB2" w:rsidRDefault="00F65F9F">
      <w:pPr>
        <w:spacing w:line="360" w:lineRule="auto"/>
        <w:ind w:firstLineChars="200" w:firstLine="640"/>
        <w:rPr>
          <w:rFonts w:ascii="黑体" w:eastAsia="黑体" w:hAnsi="黑体" w:cs="黑体"/>
          <w:sz w:val="32"/>
          <w:szCs w:val="32"/>
        </w:rPr>
      </w:pPr>
      <w:bookmarkStart w:id="9" w:name="_Toc7740"/>
      <w:r>
        <w:rPr>
          <w:rFonts w:ascii="黑体" w:eastAsia="黑体" w:hAnsi="黑体" w:cs="黑体" w:hint="eastAsia"/>
          <w:sz w:val="32"/>
          <w:szCs w:val="32"/>
        </w:rPr>
        <w:t>六、一般公共预算基本支出情况说明</w:t>
      </w:r>
      <w:bookmarkEnd w:id="9"/>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一般公共预算拨款基本支出预算1,250.40万元，占支出总预算65.55%，同比减少20.87万元，下降1.64%。其中：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（一）人员经费支出1,118.52万元，其中：</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1.工资福利支出1,039.78万元，占支出总预算54.51%，同比减少25.93万元，下降2.49%。</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2.个人和家庭补助支出78.74万元，占支出总预算4.13%，同比增加1.05万元，增长1.35%。</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（二）公用经费支出131.88万元，均为商品和服务支出，占支出总预算的6.91%，同比增加4万元，增长3.13%。</w:t>
      </w:r>
    </w:p>
    <w:p w:rsidR="00A20CB2" w:rsidRDefault="00F65F9F">
      <w:pPr>
        <w:spacing w:line="360" w:lineRule="auto"/>
        <w:ind w:firstLineChars="200" w:firstLine="640"/>
        <w:rPr>
          <w:rFonts w:ascii="黑体" w:eastAsia="黑体" w:hAnsi="黑体" w:cs="黑体"/>
          <w:sz w:val="32"/>
          <w:szCs w:val="32"/>
        </w:rPr>
      </w:pPr>
      <w:bookmarkStart w:id="10" w:name="_Toc19959"/>
      <w:r>
        <w:rPr>
          <w:rFonts w:ascii="黑体" w:eastAsia="黑体" w:hAnsi="黑体" w:cs="黑体" w:hint="eastAsia"/>
          <w:sz w:val="32"/>
          <w:szCs w:val="32"/>
        </w:rPr>
        <w:lastRenderedPageBreak/>
        <w:t>七、</w:t>
      </w:r>
      <w:bookmarkEnd w:id="10"/>
      <w:r>
        <w:rPr>
          <w:rFonts w:ascii="黑体" w:eastAsia="黑体" w:hAnsi="黑体" w:cs="黑体" w:hint="eastAsia"/>
          <w:sz w:val="32"/>
          <w:szCs w:val="32"/>
        </w:rPr>
        <w:t>一般公共预算“三公”经费支出情况说明</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2023年一般公共预算安排“三公”经费支出预算23.23万元，同比增加3.49万元，增长17.68%,增加的主要原因是业务工作繁忙，外出抢修、维护工作增多，2022年采购1辆公务车，车辆实有数比上年多1辆，因此支出预算增加。</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1.因公出国（境）费2023年算安排0万元, 对比上年无增减。</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2.公务接待费2023年预算安排0.80万元，与上年持平。</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3.公务用车购置及运行费2023年预算安排22.43万元，比上年增加4万元，增长18.43%，其中：</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公务车用车购置费2023年预算安排0万元,对比上年无增减。</w:t>
      </w:r>
    </w:p>
    <w:p w:rsidR="00A20CB2" w:rsidRDefault="00F65F9F">
      <w:pPr>
        <w:ind w:firstLineChars="200" w:firstLine="640"/>
        <w:rPr>
          <w:rFonts w:ascii="仿宋" w:eastAsia="仿宋" w:hAnsi="仿宋" w:cs="仿宋"/>
          <w:sz w:val="32"/>
          <w:szCs w:val="32"/>
        </w:rPr>
      </w:pPr>
      <w:r>
        <w:rPr>
          <w:rFonts w:ascii="仿宋" w:eastAsia="仿宋" w:hAnsi="仿宋" w:cs="仿宋" w:hint="eastAsia"/>
          <w:sz w:val="32"/>
          <w:szCs w:val="32"/>
        </w:rPr>
        <w:t>公务用车运行维护费2023年预算安排22.43万元，同比增加3.49万元，增长18.43%，增加的主要原因是业务工作繁忙，外出抢修、维护工作增多，2022年采购1辆公务车，车辆实有数比上年多1辆，因此支出预算增加。</w:t>
      </w:r>
    </w:p>
    <w:p w:rsidR="00A20CB2" w:rsidRDefault="00F65F9F">
      <w:pPr>
        <w:spacing w:line="360" w:lineRule="auto"/>
        <w:ind w:firstLineChars="200" w:firstLine="640"/>
        <w:rPr>
          <w:rFonts w:ascii="黑体" w:eastAsia="黑体" w:hAnsi="黑体" w:cs="黑体"/>
          <w:sz w:val="32"/>
          <w:szCs w:val="32"/>
        </w:rPr>
      </w:pPr>
      <w:bookmarkStart w:id="11" w:name="_Toc1259"/>
      <w:r>
        <w:rPr>
          <w:rFonts w:ascii="黑体" w:eastAsia="黑体" w:hAnsi="黑体" w:cs="黑体" w:hint="eastAsia"/>
          <w:sz w:val="32"/>
          <w:szCs w:val="32"/>
        </w:rPr>
        <w:t>八、政府性基金预算支出情况说明</w:t>
      </w:r>
      <w:bookmarkEnd w:id="11"/>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我单位2023年预算无政府性基金预算。</w:t>
      </w: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九、国有资本经营预算支出情况说明</w:t>
      </w:r>
    </w:p>
    <w:p w:rsidR="00A20CB2" w:rsidRDefault="00F65F9F" w:rsidP="006276D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我单位2023年预算无国有资本经营预算。</w:t>
      </w:r>
    </w:p>
    <w:p w:rsidR="00A20CB2" w:rsidRDefault="00F65F9F">
      <w:pPr>
        <w:spacing w:line="360" w:lineRule="auto"/>
        <w:ind w:firstLineChars="200" w:firstLine="640"/>
        <w:rPr>
          <w:rFonts w:ascii="黑体" w:eastAsia="黑体" w:hAnsi="黑体" w:cs="黑体"/>
          <w:sz w:val="32"/>
          <w:szCs w:val="32"/>
        </w:rPr>
      </w:pPr>
      <w:bookmarkStart w:id="12" w:name="_Toc4245"/>
      <w:r>
        <w:rPr>
          <w:rFonts w:ascii="黑体" w:eastAsia="黑体" w:hAnsi="黑体" w:cs="黑体" w:hint="eastAsia"/>
          <w:sz w:val="32"/>
          <w:szCs w:val="32"/>
        </w:rPr>
        <w:t>十、其他重要事项情况说明</w:t>
      </w:r>
      <w:bookmarkEnd w:id="12"/>
    </w:p>
    <w:p w:rsidR="00A20CB2" w:rsidRDefault="00F65F9F">
      <w:pPr>
        <w:spacing w:line="360" w:lineRule="auto"/>
        <w:ind w:firstLineChars="200" w:firstLine="640"/>
        <w:rPr>
          <w:rFonts w:ascii="黑体" w:eastAsia="黑体" w:hAnsi="黑体" w:cs="黑体"/>
          <w:sz w:val="32"/>
          <w:szCs w:val="32"/>
        </w:rPr>
      </w:pPr>
      <w:bookmarkStart w:id="13" w:name="_Toc4923"/>
      <w:r>
        <w:rPr>
          <w:rFonts w:ascii="黑体" w:eastAsia="黑体" w:hAnsi="黑体" w:cs="黑体" w:hint="eastAsia"/>
          <w:sz w:val="32"/>
          <w:szCs w:val="32"/>
        </w:rPr>
        <w:t>（一）事业单位相关运行经费</w:t>
      </w:r>
      <w:bookmarkEnd w:id="13"/>
      <w:r>
        <w:rPr>
          <w:rFonts w:ascii="黑体" w:eastAsia="黑体" w:hAnsi="黑体" w:cs="黑体" w:hint="eastAsia"/>
          <w:sz w:val="32"/>
          <w:szCs w:val="32"/>
        </w:rPr>
        <w:t>安排情况说明</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事业单位相关运行经费主要是指为保障事业单位运行用于购买货物和服务的各项资金，包括办公及印刷费、邮电费、差旅费、</w:t>
      </w:r>
      <w:r>
        <w:rPr>
          <w:rFonts w:ascii="仿宋_GB2312" w:eastAsia="仿宋_GB2312" w:hAnsi="仿宋_GB2312" w:cs="仿宋_GB2312" w:hint="eastAsia"/>
          <w:sz w:val="32"/>
          <w:szCs w:val="32"/>
        </w:rPr>
        <w:lastRenderedPageBreak/>
        <w:t>会议费、福利费、日常维修费、专用材料及一般设备购置费、办公用房水电费、办公用房取暖费、办公用房物业管理费、公务用车运行维护费以及其他费用。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事业单位相关运行经费预算131.88万元，均为基本支出预算定额商品服务支出，同比增加4万元，增长3.13％。增加的主要原因是车辆实有数比上年多1辆，定额生成的公务用车运行维护费支出相应增加；退休人员数增加1人，退休人员公用经费增加。</w:t>
      </w:r>
    </w:p>
    <w:p w:rsidR="00A20CB2" w:rsidRDefault="00F65F9F">
      <w:pPr>
        <w:spacing w:line="360" w:lineRule="auto"/>
        <w:ind w:firstLineChars="200" w:firstLine="640"/>
        <w:rPr>
          <w:rFonts w:ascii="黑体" w:eastAsia="黑体" w:hAnsi="黑体" w:cs="黑体"/>
          <w:sz w:val="32"/>
          <w:szCs w:val="32"/>
        </w:rPr>
      </w:pPr>
      <w:bookmarkStart w:id="14" w:name="_Toc13517"/>
      <w:r>
        <w:rPr>
          <w:rFonts w:ascii="黑体" w:eastAsia="黑体" w:hAnsi="黑体" w:cs="黑体" w:hint="eastAsia"/>
          <w:sz w:val="32"/>
          <w:szCs w:val="32"/>
        </w:rPr>
        <w:t>（二）政府采购预算安排情况说明</w:t>
      </w:r>
      <w:bookmarkEnd w:id="14"/>
    </w:p>
    <w:p w:rsidR="00A20CB2" w:rsidRDefault="00F65F9F">
      <w:pPr>
        <w:spacing w:line="360" w:lineRule="auto"/>
        <w:ind w:firstLineChars="200" w:firstLine="640"/>
        <w:rPr>
          <w:rFonts w:ascii="仿宋_GB2312" w:eastAsia="仿宋_GB2312" w:hAnsi="仿宋_GB2312" w:cs="仿宋_GB2312"/>
          <w:sz w:val="32"/>
          <w:szCs w:val="32"/>
        </w:rPr>
      </w:pPr>
      <w:bookmarkStart w:id="15" w:name="_Toc17464"/>
      <w:r>
        <w:rPr>
          <w:rFonts w:ascii="仿宋_GB2312" w:eastAsia="仿宋_GB2312" w:hAnsi="仿宋_GB2312" w:cs="仿宋_GB2312" w:hint="eastAsia"/>
          <w:sz w:val="32"/>
          <w:szCs w:val="32"/>
        </w:rPr>
        <w:t>2023年政府采购预算103.68万元，同比增加14.54万元，增长16.31％，其中：政府集中采购预算103.68万元，占政府采购预算100%；分散采购预算0万元。</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政府采购资金类型：一般公共预算拨款安排101.88万元，单位资金安排1.80万元。</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按政府采购项目类型分为货物类采购、工程类采购和服务类采购三种类型。货物类采购预算36.38万元，服务类67.30万元。</w:t>
      </w: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bookmarkEnd w:id="15"/>
    </w:p>
    <w:p w:rsidR="00A20CB2" w:rsidRDefault="00F65F9F">
      <w:pPr>
        <w:spacing w:line="360" w:lineRule="auto"/>
        <w:ind w:firstLineChars="200" w:firstLine="640"/>
        <w:rPr>
          <w:rFonts w:ascii="仿宋_GB2312" w:eastAsia="仿宋_GB2312" w:hAnsi="仿宋_GB2312" w:cs="仿宋_GB2312"/>
          <w:sz w:val="32"/>
          <w:szCs w:val="32"/>
        </w:rPr>
      </w:pPr>
      <w:bookmarkStart w:id="16" w:name="_Toc10113"/>
      <w:r>
        <w:rPr>
          <w:rFonts w:ascii="仿宋_GB2312" w:eastAsia="仿宋_GB2312" w:hAnsi="仿宋_GB2312" w:cs="仿宋_GB2312" w:hint="eastAsia"/>
          <w:sz w:val="32"/>
          <w:szCs w:val="32"/>
        </w:rPr>
        <w:t>资产总额为3,188.79万元（2022年初数据），其中：固定资产3,008.33万元，无形资产10.63万元，流动资产169.83万元。</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固定资产主要有：</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房屋11,960.93平方米，主要为台站机房、业务用房和办</w:t>
      </w:r>
      <w:r>
        <w:rPr>
          <w:rFonts w:ascii="仿宋_GB2312" w:eastAsia="仿宋_GB2312" w:hAnsi="仿宋_GB2312" w:cs="仿宋_GB2312" w:hint="eastAsia"/>
          <w:sz w:val="32"/>
          <w:szCs w:val="32"/>
        </w:rPr>
        <w:lastRenderedPageBreak/>
        <w:t>公用房等。</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车辆情况：单位车辆编制8辆，实有车辆7辆，车辆主要用于保障广播电视发射台站运行维护。</w:t>
      </w: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（四）重点项目预算绩效目标等情况说明</w:t>
      </w:r>
      <w:bookmarkEnd w:id="16"/>
    </w:p>
    <w:p w:rsidR="00A20CB2" w:rsidRDefault="00F65F9F">
      <w:pPr>
        <w:spacing w:line="360" w:lineRule="auto"/>
        <w:ind w:firstLineChars="200" w:firstLine="640"/>
        <w:rPr>
          <w:rFonts w:ascii="仿宋_GB2312" w:eastAsia="仿宋_GB2312" w:hAnsi="仿宋_GB2312" w:cs="仿宋_GB2312"/>
          <w:sz w:val="32"/>
          <w:szCs w:val="32"/>
        </w:rPr>
      </w:pPr>
      <w:bookmarkStart w:id="17" w:name="_Toc16190"/>
      <w:r>
        <w:rPr>
          <w:rFonts w:ascii="仿宋_GB2312" w:eastAsia="仿宋_GB2312" w:hAnsi="仿宋_GB2312" w:cs="仿宋_GB2312" w:hint="eastAsia"/>
          <w:sz w:val="32"/>
          <w:szCs w:val="32"/>
        </w:rPr>
        <w:t>2023年单位预算绩效项目共有7个，项目资金为392.42万元，其中一般公共预算拨款387.42万元，单位资金5万元。</w:t>
      </w:r>
    </w:p>
    <w:p w:rsidR="00A20CB2" w:rsidRDefault="00F65F9F">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详见广西广播电视技术中心河池分中心2023</w:t>
      </w:r>
      <w:r w:rsidR="006276D2">
        <w:rPr>
          <w:rFonts w:ascii="仿宋_GB2312" w:eastAsia="仿宋_GB2312" w:hAnsi="仿宋_GB2312" w:cs="仿宋_GB2312" w:hint="eastAsia"/>
          <w:sz w:val="32"/>
          <w:szCs w:val="32"/>
        </w:rPr>
        <w:t>年单位</w:t>
      </w:r>
      <w:r>
        <w:rPr>
          <w:rFonts w:ascii="仿宋_GB2312" w:eastAsia="仿宋_GB2312" w:hAnsi="仿宋_GB2312" w:cs="仿宋_GB2312" w:hint="eastAsia"/>
          <w:sz w:val="32"/>
          <w:szCs w:val="32"/>
        </w:rPr>
        <w:t>预算</w:t>
      </w:r>
      <w:r w:rsidR="006276D2">
        <w:rPr>
          <w:rFonts w:ascii="仿宋_GB2312" w:eastAsia="仿宋_GB2312" w:hAnsi="仿宋_GB2312" w:cs="仿宋_GB2312" w:hint="eastAsia"/>
          <w:sz w:val="32"/>
          <w:szCs w:val="32"/>
        </w:rPr>
        <w:t>公开</w:t>
      </w:r>
      <w:r>
        <w:rPr>
          <w:rFonts w:ascii="仿宋_GB2312" w:eastAsia="仿宋_GB2312" w:hAnsi="仿宋_GB2312" w:cs="仿宋_GB2312" w:hint="eastAsia"/>
          <w:sz w:val="32"/>
          <w:szCs w:val="32"/>
        </w:rPr>
        <w:t>报表中的表</w:t>
      </w:r>
      <w:r w:rsidR="006276D2">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《2023年度预算项目绩效目标公开表》</w:t>
      </w:r>
      <w:r w:rsidR="006276D2">
        <w:rPr>
          <w:rFonts w:ascii="仿宋_GB2312" w:eastAsia="仿宋_GB2312" w:hAnsi="仿宋_GB2312" w:cs="仿宋_GB2312" w:hint="eastAsia"/>
          <w:sz w:val="32"/>
          <w:szCs w:val="32"/>
        </w:rPr>
        <w:t>。</w:t>
      </w:r>
    </w:p>
    <w:p w:rsidR="00A30220" w:rsidRPr="00A30220" w:rsidRDefault="00A30220">
      <w:pPr>
        <w:spacing w:line="360" w:lineRule="auto"/>
        <w:ind w:firstLineChars="200" w:firstLine="640"/>
        <w:rPr>
          <w:rFonts w:ascii="仿宋_GB2312" w:eastAsia="仿宋_GB2312" w:hAnsi="仿宋_GB2312" w:cs="仿宋_GB2312"/>
          <w:sz w:val="32"/>
          <w:szCs w:val="32"/>
        </w:rPr>
      </w:pP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第三部分：名词解释</w:t>
      </w:r>
      <w:bookmarkEnd w:id="17"/>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一、财政拨款收入：指自治区财政部门当年拨付的资金。</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二、其他收入：指除上述“财政拨款收入”、“事业收入”、“经营收入”等以外的收入。</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三、年初结转和结余：指以前年度尚未完成、结转到本年按有关规定继续使用的资金。</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四、年末结转和结余：指本年度或以前年度预算安排、因客观条件发生变化无法按原计划实施，需要延迟到以后年度按有关规定继续使用的资金。</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五、基本支出：指为保障机构正常运转、完成日常工作任务而发生的人员支出和公用支出。</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六、项目支出：指在基本支出之外为完成特定行政任务和事业发展目标所发生的支出。</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0CB2" w:rsidRDefault="00A20CB2">
      <w:pPr>
        <w:spacing w:line="360" w:lineRule="auto"/>
        <w:ind w:firstLineChars="200" w:firstLine="640"/>
        <w:rPr>
          <w:rFonts w:ascii="仿宋_GB2312" w:eastAsia="仿宋_GB2312" w:hAnsi="仿宋_GB2312" w:cs="仿宋_GB2312"/>
          <w:sz w:val="32"/>
          <w:szCs w:val="32"/>
        </w:rPr>
      </w:pPr>
    </w:p>
    <w:p w:rsidR="00A20CB2" w:rsidRDefault="00F65F9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第四部分：广西广播电视技术中心河池分中心2023年</w:t>
      </w:r>
      <w:r w:rsidR="006276D2">
        <w:rPr>
          <w:rFonts w:ascii="黑体" w:eastAsia="黑体" w:hAnsi="黑体" w:cs="黑体" w:hint="eastAsia"/>
          <w:sz w:val="32"/>
          <w:szCs w:val="32"/>
        </w:rPr>
        <w:t>单位</w:t>
      </w:r>
      <w:r>
        <w:rPr>
          <w:rFonts w:ascii="黑体" w:eastAsia="黑体" w:hAnsi="黑体" w:cs="黑体" w:hint="eastAsia"/>
          <w:sz w:val="32"/>
          <w:szCs w:val="32"/>
        </w:rPr>
        <w:t>预算</w:t>
      </w:r>
      <w:r w:rsidR="006276D2">
        <w:rPr>
          <w:rFonts w:ascii="黑体" w:eastAsia="黑体" w:hAnsi="黑体" w:cs="黑体" w:hint="eastAsia"/>
          <w:sz w:val="32"/>
          <w:szCs w:val="32"/>
        </w:rPr>
        <w:t>公开</w:t>
      </w:r>
      <w:r>
        <w:rPr>
          <w:rFonts w:ascii="黑体" w:eastAsia="黑体" w:hAnsi="黑体" w:cs="黑体" w:hint="eastAsia"/>
          <w:sz w:val="32"/>
          <w:szCs w:val="32"/>
        </w:rPr>
        <w:t>报表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一、单位收支总体情况表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二、单位收入总体情况表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三、单位支出总体情况表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六、一般公共预算基本支出情况表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七、财政拨款“三公”经费、会议费和培训费支出情况表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九、国有资本经营预算支出情况表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十、2023年度预算项目绩效目标公开表</w:t>
      </w:r>
    </w:p>
    <w:p w:rsidR="00A20CB2" w:rsidRDefault="00F65F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详见广西广播电视技术中心河池分中心2023年</w:t>
      </w:r>
      <w:r w:rsidR="006276D2">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预算</w:t>
      </w:r>
      <w:r w:rsidR="006276D2">
        <w:rPr>
          <w:rFonts w:ascii="仿宋_GB2312" w:eastAsia="仿宋_GB2312" w:hAnsi="仿宋_GB2312" w:cs="仿宋_GB2312" w:hint="eastAsia"/>
          <w:sz w:val="32"/>
          <w:szCs w:val="32"/>
        </w:rPr>
        <w:t>公开</w:t>
      </w:r>
      <w:r>
        <w:rPr>
          <w:rFonts w:ascii="仿宋_GB2312" w:eastAsia="仿宋_GB2312" w:hAnsi="仿宋_GB2312" w:cs="仿宋_GB2312" w:hint="eastAsia"/>
          <w:sz w:val="32"/>
          <w:szCs w:val="32"/>
        </w:rPr>
        <w:t>报表。</w:t>
      </w:r>
    </w:p>
    <w:bookmarkEnd w:id="0"/>
    <w:p w:rsidR="00A20CB2" w:rsidRDefault="00A20CB2">
      <w:pPr>
        <w:spacing w:line="360" w:lineRule="auto"/>
        <w:ind w:firstLineChars="200" w:firstLine="640"/>
        <w:rPr>
          <w:rFonts w:ascii="仿宋_GB2312" w:eastAsia="仿宋_GB2312" w:hAnsi="仿宋_GB2312" w:cs="仿宋_GB2312"/>
          <w:sz w:val="32"/>
          <w:szCs w:val="32"/>
        </w:rPr>
      </w:pPr>
    </w:p>
    <w:sectPr w:rsidR="00A20CB2" w:rsidSect="00A20CB2">
      <w:footerReference w:type="default" r:id="rId7"/>
      <w:pgSz w:w="11906" w:h="16838"/>
      <w:pgMar w:top="1440" w:right="1440" w:bottom="1440"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17" w:rsidRDefault="007D0E17" w:rsidP="00A20CB2">
      <w:pPr>
        <w:ind w:firstLine="640"/>
      </w:pPr>
      <w:r>
        <w:separator/>
      </w:r>
    </w:p>
  </w:endnote>
  <w:endnote w:type="continuationSeparator" w:id="1">
    <w:p w:rsidR="007D0E17" w:rsidRDefault="007D0E17" w:rsidP="00A20CB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CB2" w:rsidRDefault="0029078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A20CB2" w:rsidRDefault="00290789">
                <w:pPr>
                  <w:pStyle w:val="a3"/>
                </w:pPr>
                <w:r>
                  <w:rPr>
                    <w:rFonts w:hint="eastAsia"/>
                  </w:rPr>
                  <w:fldChar w:fldCharType="begin"/>
                </w:r>
                <w:r w:rsidR="00F65F9F">
                  <w:rPr>
                    <w:rFonts w:hint="eastAsia"/>
                  </w:rPr>
                  <w:instrText xml:space="preserve"> PAGE  \* MERGEFORMAT </w:instrText>
                </w:r>
                <w:r>
                  <w:rPr>
                    <w:rFonts w:hint="eastAsia"/>
                  </w:rPr>
                  <w:fldChar w:fldCharType="separate"/>
                </w:r>
                <w:r w:rsidR="00A3022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17" w:rsidRDefault="007D0E17" w:rsidP="00A20CB2">
      <w:pPr>
        <w:ind w:firstLine="640"/>
      </w:pPr>
      <w:r>
        <w:separator/>
      </w:r>
    </w:p>
  </w:footnote>
  <w:footnote w:type="continuationSeparator" w:id="1">
    <w:p w:rsidR="007D0E17" w:rsidRDefault="007D0E17" w:rsidP="00A20CB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YzZDZmMGNmNzE2NDE5MDgzYjkzZGMyN2Y4ZWUxOGEifQ=="/>
  </w:docVars>
  <w:rsids>
    <w:rsidRoot w:val="010A3AE1"/>
    <w:rsid w:val="00040DD0"/>
    <w:rsid w:val="000C76BB"/>
    <w:rsid w:val="000E0653"/>
    <w:rsid w:val="000F3656"/>
    <w:rsid w:val="000F3AC1"/>
    <w:rsid w:val="0014035F"/>
    <w:rsid w:val="001E3F6C"/>
    <w:rsid w:val="002705C6"/>
    <w:rsid w:val="002744E0"/>
    <w:rsid w:val="00290789"/>
    <w:rsid w:val="002972DE"/>
    <w:rsid w:val="002D5726"/>
    <w:rsid w:val="002E078E"/>
    <w:rsid w:val="003979EA"/>
    <w:rsid w:val="00403438"/>
    <w:rsid w:val="004A3761"/>
    <w:rsid w:val="00504F27"/>
    <w:rsid w:val="005A436B"/>
    <w:rsid w:val="006276D2"/>
    <w:rsid w:val="006500F9"/>
    <w:rsid w:val="006B3D7A"/>
    <w:rsid w:val="00792A58"/>
    <w:rsid w:val="007D0E17"/>
    <w:rsid w:val="007F344D"/>
    <w:rsid w:val="00814394"/>
    <w:rsid w:val="00872187"/>
    <w:rsid w:val="008D3521"/>
    <w:rsid w:val="00975453"/>
    <w:rsid w:val="0099665E"/>
    <w:rsid w:val="00A20CB2"/>
    <w:rsid w:val="00A20E09"/>
    <w:rsid w:val="00A30220"/>
    <w:rsid w:val="00A323BC"/>
    <w:rsid w:val="00A84ACB"/>
    <w:rsid w:val="00AD4191"/>
    <w:rsid w:val="00AE36D1"/>
    <w:rsid w:val="00BF4AC4"/>
    <w:rsid w:val="00C968D5"/>
    <w:rsid w:val="00D36834"/>
    <w:rsid w:val="00D57222"/>
    <w:rsid w:val="00DA707B"/>
    <w:rsid w:val="00DB6FBC"/>
    <w:rsid w:val="00DD18F7"/>
    <w:rsid w:val="00DF6F65"/>
    <w:rsid w:val="00EC73B7"/>
    <w:rsid w:val="00EE3F60"/>
    <w:rsid w:val="00F51C69"/>
    <w:rsid w:val="00F65F9F"/>
    <w:rsid w:val="00FD752C"/>
    <w:rsid w:val="010A3AE1"/>
    <w:rsid w:val="01590704"/>
    <w:rsid w:val="0171289C"/>
    <w:rsid w:val="019E45F4"/>
    <w:rsid w:val="02481235"/>
    <w:rsid w:val="02791ACE"/>
    <w:rsid w:val="03E961EE"/>
    <w:rsid w:val="056031FE"/>
    <w:rsid w:val="05D37841"/>
    <w:rsid w:val="062B1D08"/>
    <w:rsid w:val="06A90764"/>
    <w:rsid w:val="07323234"/>
    <w:rsid w:val="07F32637"/>
    <w:rsid w:val="089535DD"/>
    <w:rsid w:val="09440775"/>
    <w:rsid w:val="09E25CEB"/>
    <w:rsid w:val="0A05780A"/>
    <w:rsid w:val="0A135F2A"/>
    <w:rsid w:val="0A2173D3"/>
    <w:rsid w:val="0ABE3D08"/>
    <w:rsid w:val="0ADA5C01"/>
    <w:rsid w:val="0B15047F"/>
    <w:rsid w:val="0B3A2FF8"/>
    <w:rsid w:val="0BA3003A"/>
    <w:rsid w:val="0BB3666E"/>
    <w:rsid w:val="0BC94714"/>
    <w:rsid w:val="0C030754"/>
    <w:rsid w:val="0C24614C"/>
    <w:rsid w:val="0C5B40EC"/>
    <w:rsid w:val="0D1F3759"/>
    <w:rsid w:val="0DCB267E"/>
    <w:rsid w:val="0F3F5F47"/>
    <w:rsid w:val="0F4551ED"/>
    <w:rsid w:val="104E2E78"/>
    <w:rsid w:val="10765998"/>
    <w:rsid w:val="113C4589"/>
    <w:rsid w:val="12442B34"/>
    <w:rsid w:val="141474CF"/>
    <w:rsid w:val="141E3891"/>
    <w:rsid w:val="145C1FD9"/>
    <w:rsid w:val="14802C1D"/>
    <w:rsid w:val="14FA1EFE"/>
    <w:rsid w:val="15292B87"/>
    <w:rsid w:val="173F7D25"/>
    <w:rsid w:val="1756575E"/>
    <w:rsid w:val="17A83DDF"/>
    <w:rsid w:val="17BC0A6F"/>
    <w:rsid w:val="17CA1304"/>
    <w:rsid w:val="181C6F63"/>
    <w:rsid w:val="187414A4"/>
    <w:rsid w:val="18AE26A8"/>
    <w:rsid w:val="191F44FF"/>
    <w:rsid w:val="1A84165A"/>
    <w:rsid w:val="1B165795"/>
    <w:rsid w:val="1B291859"/>
    <w:rsid w:val="1B855BC5"/>
    <w:rsid w:val="1C3E30E2"/>
    <w:rsid w:val="1C91275E"/>
    <w:rsid w:val="1CBE3AE1"/>
    <w:rsid w:val="1CF60AE2"/>
    <w:rsid w:val="1DC11640"/>
    <w:rsid w:val="1DC43106"/>
    <w:rsid w:val="1E0F36AA"/>
    <w:rsid w:val="1E127B5F"/>
    <w:rsid w:val="1E824B93"/>
    <w:rsid w:val="1EDA1621"/>
    <w:rsid w:val="1F3F2382"/>
    <w:rsid w:val="1FC34D6B"/>
    <w:rsid w:val="1FEB1223"/>
    <w:rsid w:val="209A3383"/>
    <w:rsid w:val="210C741A"/>
    <w:rsid w:val="21303926"/>
    <w:rsid w:val="21642973"/>
    <w:rsid w:val="218A78E9"/>
    <w:rsid w:val="21D06E06"/>
    <w:rsid w:val="225374A7"/>
    <w:rsid w:val="22C8320F"/>
    <w:rsid w:val="233A2855"/>
    <w:rsid w:val="235D1C2D"/>
    <w:rsid w:val="23D81C52"/>
    <w:rsid w:val="240C18F7"/>
    <w:rsid w:val="2491300D"/>
    <w:rsid w:val="253C2FB2"/>
    <w:rsid w:val="25500356"/>
    <w:rsid w:val="255F07D5"/>
    <w:rsid w:val="25BB578B"/>
    <w:rsid w:val="26177FE1"/>
    <w:rsid w:val="2664416F"/>
    <w:rsid w:val="268F456F"/>
    <w:rsid w:val="26995227"/>
    <w:rsid w:val="26C35DD3"/>
    <w:rsid w:val="27B71769"/>
    <w:rsid w:val="27D74B17"/>
    <w:rsid w:val="28180D5E"/>
    <w:rsid w:val="284A7FB2"/>
    <w:rsid w:val="289B6C5B"/>
    <w:rsid w:val="28E10FAD"/>
    <w:rsid w:val="29C235A5"/>
    <w:rsid w:val="2A613F8E"/>
    <w:rsid w:val="2A7E4349"/>
    <w:rsid w:val="2A872443"/>
    <w:rsid w:val="2AB61290"/>
    <w:rsid w:val="2B3202B6"/>
    <w:rsid w:val="2BE30AF1"/>
    <w:rsid w:val="2C8903AA"/>
    <w:rsid w:val="2D406CBA"/>
    <w:rsid w:val="2D9D2698"/>
    <w:rsid w:val="2E4427DA"/>
    <w:rsid w:val="2E876B6B"/>
    <w:rsid w:val="2EBE07DF"/>
    <w:rsid w:val="2FDD2EE6"/>
    <w:rsid w:val="303C0F21"/>
    <w:rsid w:val="309E40FD"/>
    <w:rsid w:val="316000CA"/>
    <w:rsid w:val="32155D59"/>
    <w:rsid w:val="323E5D53"/>
    <w:rsid w:val="328D607A"/>
    <w:rsid w:val="329F73F8"/>
    <w:rsid w:val="33125EF0"/>
    <w:rsid w:val="335F00B6"/>
    <w:rsid w:val="33CF6FEA"/>
    <w:rsid w:val="340721EF"/>
    <w:rsid w:val="34080B9D"/>
    <w:rsid w:val="368A1293"/>
    <w:rsid w:val="368F2A60"/>
    <w:rsid w:val="36E606F7"/>
    <w:rsid w:val="36EF34FF"/>
    <w:rsid w:val="379F2C0E"/>
    <w:rsid w:val="38CC73AD"/>
    <w:rsid w:val="38D91765"/>
    <w:rsid w:val="38EC0B86"/>
    <w:rsid w:val="392D17D6"/>
    <w:rsid w:val="3AA7481D"/>
    <w:rsid w:val="3AB74334"/>
    <w:rsid w:val="3B5C7284"/>
    <w:rsid w:val="3D3C18A7"/>
    <w:rsid w:val="3DE41C1D"/>
    <w:rsid w:val="3E153518"/>
    <w:rsid w:val="3E532320"/>
    <w:rsid w:val="3E992FDA"/>
    <w:rsid w:val="3F494AD2"/>
    <w:rsid w:val="3F5605BF"/>
    <w:rsid w:val="3F5B5BD6"/>
    <w:rsid w:val="3F640F4C"/>
    <w:rsid w:val="3FE515F5"/>
    <w:rsid w:val="405E7D72"/>
    <w:rsid w:val="40EF292C"/>
    <w:rsid w:val="40F55BB6"/>
    <w:rsid w:val="41C07B65"/>
    <w:rsid w:val="41CE08E1"/>
    <w:rsid w:val="41DA7286"/>
    <w:rsid w:val="42462C3F"/>
    <w:rsid w:val="4292555C"/>
    <w:rsid w:val="42EC095C"/>
    <w:rsid w:val="430B16C1"/>
    <w:rsid w:val="430F14E3"/>
    <w:rsid w:val="43395A3D"/>
    <w:rsid w:val="445640A0"/>
    <w:rsid w:val="4499224E"/>
    <w:rsid w:val="44F85C75"/>
    <w:rsid w:val="4605689B"/>
    <w:rsid w:val="46FD5CF0"/>
    <w:rsid w:val="471436D4"/>
    <w:rsid w:val="492434DC"/>
    <w:rsid w:val="4970227E"/>
    <w:rsid w:val="497E2BEC"/>
    <w:rsid w:val="4A565917"/>
    <w:rsid w:val="4AD8632C"/>
    <w:rsid w:val="4B616322"/>
    <w:rsid w:val="4B9304A5"/>
    <w:rsid w:val="4BDD316D"/>
    <w:rsid w:val="4C494349"/>
    <w:rsid w:val="4C6E37B0"/>
    <w:rsid w:val="4D2A6491"/>
    <w:rsid w:val="4D4F01C4"/>
    <w:rsid w:val="4D510618"/>
    <w:rsid w:val="4D8F24C8"/>
    <w:rsid w:val="4DA06472"/>
    <w:rsid w:val="4E1C29D4"/>
    <w:rsid w:val="4F0556F1"/>
    <w:rsid w:val="4F49155A"/>
    <w:rsid w:val="4F8A57E8"/>
    <w:rsid w:val="4FCB3D0E"/>
    <w:rsid w:val="4FE240E0"/>
    <w:rsid w:val="4FF87308"/>
    <w:rsid w:val="508F0E90"/>
    <w:rsid w:val="50965847"/>
    <w:rsid w:val="509B1B7B"/>
    <w:rsid w:val="50A53155"/>
    <w:rsid w:val="51136310"/>
    <w:rsid w:val="5121000E"/>
    <w:rsid w:val="522E2CD6"/>
    <w:rsid w:val="5293736E"/>
    <w:rsid w:val="52A72D34"/>
    <w:rsid w:val="52DA1247"/>
    <w:rsid w:val="5323562D"/>
    <w:rsid w:val="54056553"/>
    <w:rsid w:val="556047A1"/>
    <w:rsid w:val="56527F46"/>
    <w:rsid w:val="56731D10"/>
    <w:rsid w:val="56B55738"/>
    <w:rsid w:val="5726629F"/>
    <w:rsid w:val="57C14700"/>
    <w:rsid w:val="57C8237A"/>
    <w:rsid w:val="57CC325D"/>
    <w:rsid w:val="58330F6D"/>
    <w:rsid w:val="59B25B4B"/>
    <w:rsid w:val="59BB0071"/>
    <w:rsid w:val="5A0A6E8B"/>
    <w:rsid w:val="5A881045"/>
    <w:rsid w:val="5AF656EA"/>
    <w:rsid w:val="5B9E7FD0"/>
    <w:rsid w:val="5BA50265"/>
    <w:rsid w:val="5BC970F2"/>
    <w:rsid w:val="5BE556B5"/>
    <w:rsid w:val="5C33637E"/>
    <w:rsid w:val="5C59253A"/>
    <w:rsid w:val="5CFB62D5"/>
    <w:rsid w:val="5D04794F"/>
    <w:rsid w:val="5D093636"/>
    <w:rsid w:val="5D1872E8"/>
    <w:rsid w:val="5D1A27D4"/>
    <w:rsid w:val="5D595B2D"/>
    <w:rsid w:val="5E586060"/>
    <w:rsid w:val="5EA333B0"/>
    <w:rsid w:val="5EF15CB6"/>
    <w:rsid w:val="5FB32A6C"/>
    <w:rsid w:val="5FB46F10"/>
    <w:rsid w:val="60FD48E7"/>
    <w:rsid w:val="62053A53"/>
    <w:rsid w:val="62204917"/>
    <w:rsid w:val="624555BD"/>
    <w:rsid w:val="62532C70"/>
    <w:rsid w:val="62826DBA"/>
    <w:rsid w:val="62AD636E"/>
    <w:rsid w:val="638639F6"/>
    <w:rsid w:val="6439366A"/>
    <w:rsid w:val="64465ABB"/>
    <w:rsid w:val="64D911C7"/>
    <w:rsid w:val="64E475B4"/>
    <w:rsid w:val="651567B5"/>
    <w:rsid w:val="659A2704"/>
    <w:rsid w:val="65AD2600"/>
    <w:rsid w:val="65B66FA0"/>
    <w:rsid w:val="66A94E58"/>
    <w:rsid w:val="66BF6EB7"/>
    <w:rsid w:val="66D33D3B"/>
    <w:rsid w:val="67057182"/>
    <w:rsid w:val="67924AEB"/>
    <w:rsid w:val="683C0DC7"/>
    <w:rsid w:val="68A71A23"/>
    <w:rsid w:val="6987277C"/>
    <w:rsid w:val="69B85C32"/>
    <w:rsid w:val="6A1A2402"/>
    <w:rsid w:val="6ADD3BD0"/>
    <w:rsid w:val="6B5A4D92"/>
    <w:rsid w:val="6BD57112"/>
    <w:rsid w:val="6C32114C"/>
    <w:rsid w:val="6C871509"/>
    <w:rsid w:val="6D331B6A"/>
    <w:rsid w:val="6D576F4D"/>
    <w:rsid w:val="6DAC4193"/>
    <w:rsid w:val="6DEE435E"/>
    <w:rsid w:val="6DF041F3"/>
    <w:rsid w:val="6E2B07F4"/>
    <w:rsid w:val="6E7361E8"/>
    <w:rsid w:val="6E7B608D"/>
    <w:rsid w:val="6EBA0437"/>
    <w:rsid w:val="6EDB2EFE"/>
    <w:rsid w:val="6F2F0E8B"/>
    <w:rsid w:val="6F3C4CC8"/>
    <w:rsid w:val="6FCA7CA7"/>
    <w:rsid w:val="6FD70CA6"/>
    <w:rsid w:val="7208552E"/>
    <w:rsid w:val="7222005C"/>
    <w:rsid w:val="72723130"/>
    <w:rsid w:val="72850314"/>
    <w:rsid w:val="730E17B8"/>
    <w:rsid w:val="73352E20"/>
    <w:rsid w:val="74016FFC"/>
    <w:rsid w:val="74820F33"/>
    <w:rsid w:val="754D7793"/>
    <w:rsid w:val="761C7166"/>
    <w:rsid w:val="762F16BB"/>
    <w:rsid w:val="76340B23"/>
    <w:rsid w:val="76402E54"/>
    <w:rsid w:val="76C56764"/>
    <w:rsid w:val="76D54A6C"/>
    <w:rsid w:val="7706330D"/>
    <w:rsid w:val="7715649E"/>
    <w:rsid w:val="774C246C"/>
    <w:rsid w:val="781202C6"/>
    <w:rsid w:val="782E6FB7"/>
    <w:rsid w:val="785726D7"/>
    <w:rsid w:val="790D4973"/>
    <w:rsid w:val="79106856"/>
    <w:rsid w:val="7A295D91"/>
    <w:rsid w:val="7A9A67DD"/>
    <w:rsid w:val="7AE71AF0"/>
    <w:rsid w:val="7AF173EB"/>
    <w:rsid w:val="7AF22D8C"/>
    <w:rsid w:val="7B2F1EDD"/>
    <w:rsid w:val="7B512E8E"/>
    <w:rsid w:val="7B833AE5"/>
    <w:rsid w:val="7C570EF7"/>
    <w:rsid w:val="7C5E4034"/>
    <w:rsid w:val="7C79189C"/>
    <w:rsid w:val="7E1E238C"/>
    <w:rsid w:val="7E5929A5"/>
    <w:rsid w:val="7E9975A5"/>
    <w:rsid w:val="7F016EF9"/>
    <w:rsid w:val="7F7F20D2"/>
    <w:rsid w:val="7F823D6D"/>
    <w:rsid w:val="7FF35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CB2"/>
    <w:pPr>
      <w:widowControl w:val="0"/>
      <w:jc w:val="both"/>
    </w:pPr>
    <w:rPr>
      <w:rFonts w:asciiTheme="minorHAnsi" w:eastAsiaTheme="minorEastAsia" w:hAnsiTheme="minorHAnsi" w:cstheme="minorBidi"/>
      <w:sz w:val="21"/>
      <w:szCs w:val="22"/>
    </w:rPr>
  </w:style>
  <w:style w:type="paragraph" w:styleId="1">
    <w:name w:val="heading 1"/>
    <w:basedOn w:val="a"/>
    <w:next w:val="a"/>
    <w:link w:val="1Char"/>
    <w:qFormat/>
    <w:rsid w:val="00A20CB2"/>
    <w:pPr>
      <w:keepNext/>
      <w:keepLines/>
      <w:spacing w:before="340" w:after="330" w:line="576" w:lineRule="auto"/>
      <w:outlineLvl w:val="0"/>
    </w:pPr>
    <w:rPr>
      <w:b/>
      <w:kern w:val="44"/>
      <w:sz w:val="44"/>
    </w:rPr>
  </w:style>
  <w:style w:type="paragraph" w:styleId="2">
    <w:name w:val="heading 2"/>
    <w:basedOn w:val="a"/>
    <w:next w:val="a"/>
    <w:unhideWhenUsed/>
    <w:qFormat/>
    <w:rsid w:val="00A20CB2"/>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A20CB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A20CB2"/>
    <w:pPr>
      <w:ind w:leftChars="400" w:left="840"/>
    </w:pPr>
  </w:style>
  <w:style w:type="paragraph" w:styleId="a3">
    <w:name w:val="footer"/>
    <w:basedOn w:val="a"/>
    <w:qFormat/>
    <w:rsid w:val="00A20CB2"/>
    <w:pPr>
      <w:tabs>
        <w:tab w:val="center" w:pos="4153"/>
        <w:tab w:val="right" w:pos="8306"/>
      </w:tabs>
      <w:snapToGrid w:val="0"/>
      <w:jc w:val="left"/>
    </w:pPr>
    <w:rPr>
      <w:sz w:val="18"/>
    </w:rPr>
  </w:style>
  <w:style w:type="paragraph" w:styleId="a4">
    <w:name w:val="header"/>
    <w:basedOn w:val="a"/>
    <w:qFormat/>
    <w:rsid w:val="00A20C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A20CB2"/>
  </w:style>
  <w:style w:type="paragraph" w:styleId="20">
    <w:name w:val="toc 2"/>
    <w:basedOn w:val="a"/>
    <w:next w:val="a"/>
    <w:qFormat/>
    <w:rsid w:val="00A20CB2"/>
    <w:pPr>
      <w:ind w:leftChars="200" w:left="420"/>
    </w:pPr>
  </w:style>
  <w:style w:type="character" w:styleId="a5">
    <w:name w:val="page number"/>
    <w:basedOn w:val="a0"/>
    <w:qFormat/>
    <w:rsid w:val="00A20CB2"/>
  </w:style>
  <w:style w:type="character" w:customStyle="1" w:styleId="1Char">
    <w:name w:val="标题 1 Char"/>
    <w:link w:val="1"/>
    <w:qFormat/>
    <w:rsid w:val="00A20CB2"/>
    <w:rPr>
      <w:b/>
      <w:kern w:val="44"/>
      <w:sz w:val="44"/>
    </w:rPr>
  </w:style>
  <w:style w:type="paragraph" w:customStyle="1" w:styleId="WPSOffice1">
    <w:name w:val="WPSOffice手动目录 1"/>
    <w:qFormat/>
    <w:rsid w:val="00A20CB2"/>
    <w:rPr>
      <w:rFonts w:asciiTheme="minorHAnsi" w:eastAsiaTheme="minorEastAsia" w:hAnsiTheme="minorHAnsi" w:cstheme="minorBidi"/>
    </w:rPr>
  </w:style>
  <w:style w:type="paragraph" w:customStyle="1" w:styleId="WPSOffice2">
    <w:name w:val="WPSOffice手动目录 2"/>
    <w:qFormat/>
    <w:rsid w:val="00A20CB2"/>
    <w:pPr>
      <w:ind w:leftChars="200" w:left="200"/>
    </w:pPr>
    <w:rPr>
      <w:rFonts w:asciiTheme="minorHAnsi" w:eastAsiaTheme="minorEastAsia" w:hAnsiTheme="minorHAnsi" w:cstheme="minorBidi"/>
    </w:rPr>
  </w:style>
  <w:style w:type="paragraph" w:customStyle="1" w:styleId="WPSOffice3">
    <w:name w:val="WPSOffice手动目录 3"/>
    <w:qFormat/>
    <w:rsid w:val="00A20CB2"/>
    <w:pPr>
      <w:ind w:leftChars="400" w:left="4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750</Words>
  <Characters>4275</Characters>
  <Application>Microsoft Office Word</Application>
  <DocSecurity>0</DocSecurity>
  <Lines>35</Lines>
  <Paragraphs>10</Paragraphs>
  <ScaleCrop>false</ScaleCrop>
  <Company>Hewlett-Packard Company</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小树</dc:creator>
  <cp:lastModifiedBy>pqr-hp880g2</cp:lastModifiedBy>
  <cp:revision>24</cp:revision>
  <cp:lastPrinted>2023-01-16T00:35:00Z</cp:lastPrinted>
  <dcterms:created xsi:type="dcterms:W3CDTF">2021-02-08T08:24:00Z</dcterms:created>
  <dcterms:modified xsi:type="dcterms:W3CDTF">2023-01-30T10:04:00Z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7646C5938F784C4B86C107AA53E4F6D3</vt:lpwstr>
  </property>
</Properties>
</file>