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DD" w:rsidRDefault="00284F0E">
      <w:pPr>
        <w:jc w:val="center"/>
        <w:rPr>
          <w:rFonts w:ascii="方正小标宋简体" w:eastAsia="方正小标宋简体" w:hAnsi="Times New Roman" w:cs="Times New Roman"/>
          <w:kern w:val="2"/>
          <w:sz w:val="44"/>
          <w:szCs w:val="44"/>
        </w:rPr>
      </w:pPr>
      <w:r>
        <w:rPr>
          <w:rFonts w:ascii="方正小标宋简体" w:eastAsia="方正小标宋简体" w:hAnsi="Times New Roman" w:cs="Times New Roman" w:hint="eastAsia"/>
          <w:kern w:val="2"/>
          <w:sz w:val="44"/>
          <w:szCs w:val="44"/>
        </w:rPr>
        <w:t>广西广播电视技术中心玉林分中心</w:t>
      </w:r>
    </w:p>
    <w:p w:rsidR="001350DD" w:rsidRDefault="00284F0E">
      <w:pPr>
        <w:jc w:val="center"/>
        <w:rPr>
          <w:rFonts w:ascii="方正小标宋简体" w:eastAsia="方正小标宋简体" w:hAnsi="Times New Roman" w:cs="Times New Roman"/>
          <w:kern w:val="2"/>
          <w:sz w:val="44"/>
          <w:szCs w:val="44"/>
        </w:rPr>
      </w:pPr>
      <w:r>
        <w:rPr>
          <w:rFonts w:ascii="方正小标宋简体" w:eastAsia="方正小标宋简体" w:hAnsi="Times New Roman" w:cs="Times New Roman" w:hint="eastAsia"/>
          <w:kern w:val="2"/>
          <w:sz w:val="44"/>
          <w:szCs w:val="44"/>
        </w:rPr>
        <w:t>202</w:t>
      </w:r>
      <w:r>
        <w:rPr>
          <w:rFonts w:ascii="方正小标宋简体" w:eastAsia="方正小标宋简体" w:hAnsi="Times New Roman" w:cs="Times New Roman"/>
          <w:kern w:val="2"/>
          <w:sz w:val="44"/>
          <w:szCs w:val="44"/>
        </w:rPr>
        <w:t>3</w:t>
      </w:r>
      <w:r>
        <w:rPr>
          <w:rFonts w:ascii="方正小标宋简体" w:eastAsia="方正小标宋简体" w:hAnsi="Times New Roman" w:cs="Times New Roman" w:hint="eastAsia"/>
          <w:kern w:val="2"/>
          <w:sz w:val="44"/>
          <w:szCs w:val="44"/>
        </w:rPr>
        <w:t>年</w:t>
      </w:r>
      <w:r w:rsidR="00756E66">
        <w:rPr>
          <w:rFonts w:ascii="方正小标宋简体" w:eastAsia="方正小标宋简体" w:hAnsi="Times New Roman" w:cs="Times New Roman" w:hint="eastAsia"/>
          <w:kern w:val="2"/>
          <w:sz w:val="44"/>
          <w:szCs w:val="44"/>
        </w:rPr>
        <w:t>单位</w:t>
      </w:r>
      <w:r>
        <w:rPr>
          <w:rFonts w:ascii="方正小标宋简体" w:eastAsia="方正小标宋简体" w:hAnsi="Times New Roman" w:cs="Times New Roman" w:hint="eastAsia"/>
          <w:kern w:val="2"/>
          <w:sz w:val="44"/>
          <w:szCs w:val="44"/>
        </w:rPr>
        <w:t>预算公开</w:t>
      </w:r>
    </w:p>
    <w:p w:rsidR="001350DD" w:rsidRDefault="001350DD">
      <w:pPr>
        <w:rPr>
          <w:rFonts w:ascii="仿宋" w:eastAsia="仿宋" w:hAnsi="仿宋"/>
          <w:b/>
          <w:sz w:val="32"/>
        </w:rPr>
      </w:pPr>
    </w:p>
    <w:p w:rsidR="001350DD" w:rsidRDefault="00284F0E">
      <w:pPr>
        <w:autoSpaceDE/>
        <w:autoSpaceDN/>
        <w:adjustRightInd w:val="0"/>
        <w:snapToGrid w:val="0"/>
        <w:spacing w:line="600" w:lineRule="exact"/>
        <w:ind w:rightChars="-104" w:right="-229"/>
        <w:jc w:val="center"/>
        <w:rPr>
          <w:rFonts w:ascii="黑体" w:eastAsia="黑体" w:cs="Times New Roman"/>
          <w:bCs/>
          <w:kern w:val="2"/>
          <w:sz w:val="32"/>
          <w:szCs w:val="32"/>
        </w:rPr>
      </w:pPr>
      <w:r>
        <w:rPr>
          <w:rFonts w:ascii="黑体" w:eastAsia="黑体" w:cs="Times New Roman" w:hint="eastAsia"/>
          <w:bCs/>
          <w:kern w:val="2"/>
          <w:sz w:val="32"/>
          <w:szCs w:val="32"/>
        </w:rPr>
        <w:t>目</w:t>
      </w:r>
      <w:r>
        <w:rPr>
          <w:rFonts w:ascii="黑体" w:eastAsia="黑体" w:cs="Times New Roman" w:hint="eastAsia"/>
          <w:bCs/>
          <w:kern w:val="2"/>
          <w:sz w:val="32"/>
          <w:szCs w:val="32"/>
        </w:rPr>
        <w:tab/>
        <w:t>录</w:t>
      </w:r>
    </w:p>
    <w:p w:rsidR="001350DD" w:rsidRDefault="001350DD">
      <w:pPr>
        <w:autoSpaceDE/>
        <w:autoSpaceDN/>
        <w:adjustRightInd w:val="0"/>
        <w:snapToGrid w:val="0"/>
        <w:spacing w:line="600" w:lineRule="exact"/>
        <w:ind w:rightChars="-104" w:right="-229"/>
        <w:jc w:val="center"/>
        <w:rPr>
          <w:rFonts w:ascii="黑体" w:eastAsia="黑体" w:cs="Times New Roman"/>
          <w:bCs/>
          <w:kern w:val="2"/>
          <w:sz w:val="32"/>
          <w:szCs w:val="32"/>
        </w:rPr>
      </w:pPr>
    </w:p>
    <w:p w:rsidR="001350DD" w:rsidRDefault="00284F0E">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r>
        <w:rPr>
          <w:rFonts w:ascii="黑体" w:eastAsia="黑体" w:cs="Times New Roman" w:hint="eastAsia"/>
          <w:bCs/>
          <w:kern w:val="2"/>
          <w:sz w:val="32"/>
          <w:szCs w:val="32"/>
        </w:rPr>
        <w:t>第一部分：单位概况</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一、主要职责</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二、机构设置情况</w:t>
      </w:r>
    </w:p>
    <w:p w:rsidR="001350DD" w:rsidRDefault="001350DD">
      <w:pPr>
        <w:autoSpaceDE/>
        <w:autoSpaceDN/>
        <w:adjustRightInd w:val="0"/>
        <w:snapToGrid w:val="0"/>
        <w:spacing w:line="600" w:lineRule="exact"/>
        <w:ind w:rightChars="-104" w:right="-229" w:firstLineChars="200" w:firstLine="640"/>
        <w:jc w:val="both"/>
        <w:rPr>
          <w:rFonts w:cs="Times New Roman"/>
          <w:bCs/>
          <w:kern w:val="2"/>
          <w:sz w:val="32"/>
          <w:szCs w:val="32"/>
        </w:rPr>
      </w:pPr>
    </w:p>
    <w:p w:rsidR="001350DD" w:rsidRDefault="00284F0E">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r>
        <w:rPr>
          <w:rFonts w:ascii="黑体" w:eastAsia="黑体" w:cs="Times New Roman" w:hint="eastAsia"/>
          <w:bCs/>
          <w:kern w:val="2"/>
          <w:sz w:val="32"/>
          <w:szCs w:val="32"/>
        </w:rPr>
        <w:t>第二部分：广西广播电视技术中心玉林分中心202</w:t>
      </w:r>
      <w:r>
        <w:rPr>
          <w:rFonts w:ascii="黑体" w:eastAsia="黑体" w:cs="Times New Roman"/>
          <w:bCs/>
          <w:kern w:val="2"/>
          <w:sz w:val="32"/>
          <w:szCs w:val="32"/>
        </w:rPr>
        <w:t>3</w:t>
      </w:r>
      <w:r>
        <w:rPr>
          <w:rFonts w:ascii="黑体" w:eastAsia="黑体" w:cs="Times New Roman" w:hint="eastAsia"/>
          <w:bCs/>
          <w:kern w:val="2"/>
          <w:sz w:val="32"/>
          <w:szCs w:val="32"/>
        </w:rPr>
        <w:t>年单位预算情况说明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一、单位收支总体情况说明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二、单位收入总体情况说明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三、单位支出总体情况说明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四、财政拨款收支总体情况说明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五、一般公共预算支出情况说明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六、一般公共预算基本支出情况说明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七、一般公共预算“三公”经费支出情况说明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八、政府性基金预算支出情况说明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九、国有资本经营预算支出情况说明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十、其他重要事项情况说明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（一）事业单位相关运行经费安排情况说明</w:t>
      </w:r>
    </w:p>
    <w:p w:rsidR="001350DD" w:rsidRDefault="00284F0E">
      <w:pPr>
        <w:autoSpaceDE/>
        <w:autoSpaceDN/>
        <w:adjustRightInd w:val="0"/>
        <w:snapToGrid w:val="0"/>
        <w:spacing w:line="600" w:lineRule="exact"/>
        <w:ind w:rightChars="-104" w:right="-229" w:firstLineChars="200" w:firstLine="640"/>
        <w:jc w:val="both"/>
        <w:rPr>
          <w:rFonts w:cs="Times New Roman"/>
          <w:kern w:val="2"/>
          <w:sz w:val="32"/>
          <w:szCs w:val="32"/>
        </w:rPr>
      </w:pPr>
      <w:r>
        <w:rPr>
          <w:rFonts w:cs="Times New Roman" w:hint="eastAsia"/>
          <w:bCs/>
          <w:kern w:val="2"/>
          <w:sz w:val="32"/>
          <w:szCs w:val="32"/>
        </w:rPr>
        <w:lastRenderedPageBreak/>
        <w:t>（二）</w:t>
      </w:r>
      <w:r>
        <w:rPr>
          <w:rFonts w:cs="Times New Roman" w:hint="eastAsia"/>
          <w:kern w:val="2"/>
          <w:sz w:val="32"/>
          <w:szCs w:val="32"/>
        </w:rPr>
        <w:t>政府采购预算安排情况说明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（三）国有资产占用情况说明</w:t>
      </w:r>
    </w:p>
    <w:p w:rsidR="001350DD" w:rsidRDefault="00284F0E">
      <w:pPr>
        <w:autoSpaceDE/>
        <w:autoSpaceDN/>
        <w:adjustRightInd w:val="0"/>
        <w:snapToGrid w:val="0"/>
        <w:spacing w:line="600" w:lineRule="exact"/>
        <w:ind w:rightChars="-104" w:right="-229" w:firstLineChars="200" w:firstLine="640"/>
        <w:jc w:val="both"/>
        <w:rPr>
          <w:rFonts w:cs="Times New Roman"/>
          <w:bCs/>
          <w:kern w:val="2"/>
          <w:sz w:val="32"/>
          <w:szCs w:val="32"/>
        </w:rPr>
      </w:pPr>
      <w:r>
        <w:rPr>
          <w:rFonts w:cs="Times New Roman" w:hint="eastAsia"/>
          <w:bCs/>
          <w:kern w:val="2"/>
          <w:sz w:val="32"/>
          <w:szCs w:val="32"/>
        </w:rPr>
        <w:t>（四）重点项目预算绩效目标等情况说明</w:t>
      </w:r>
    </w:p>
    <w:p w:rsidR="001350DD" w:rsidRDefault="001350DD">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p>
    <w:p w:rsidR="001350DD" w:rsidRDefault="00284F0E">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r>
        <w:rPr>
          <w:rFonts w:ascii="黑体" w:eastAsia="黑体" w:cs="Times New Roman" w:hint="eastAsia"/>
          <w:bCs/>
          <w:kern w:val="2"/>
          <w:sz w:val="32"/>
          <w:szCs w:val="32"/>
        </w:rPr>
        <w:t>第三部分：名词解释</w:t>
      </w:r>
    </w:p>
    <w:p w:rsidR="001350DD" w:rsidRDefault="001350DD">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p>
    <w:p w:rsidR="001350DD" w:rsidRDefault="00284F0E">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r>
        <w:rPr>
          <w:rFonts w:ascii="黑体" w:eastAsia="黑体" w:cs="Times New Roman" w:hint="eastAsia"/>
          <w:bCs/>
          <w:kern w:val="2"/>
          <w:sz w:val="32"/>
          <w:szCs w:val="32"/>
        </w:rPr>
        <w:t>第四部分：广西广播电视技术中心玉林分中心2023年</w:t>
      </w:r>
      <w:r w:rsidR="00756E66">
        <w:rPr>
          <w:rFonts w:ascii="黑体" w:eastAsia="黑体" w:cs="Times New Roman" w:hint="eastAsia"/>
          <w:bCs/>
          <w:kern w:val="2"/>
          <w:sz w:val="32"/>
          <w:szCs w:val="32"/>
        </w:rPr>
        <w:t>单位</w:t>
      </w:r>
      <w:r>
        <w:rPr>
          <w:rFonts w:ascii="黑体" w:eastAsia="黑体" w:cs="Times New Roman" w:hint="eastAsia"/>
          <w:bCs/>
          <w:kern w:val="2"/>
          <w:sz w:val="32"/>
          <w:szCs w:val="32"/>
        </w:rPr>
        <w:t>预算</w:t>
      </w:r>
      <w:r w:rsidR="00756E66">
        <w:rPr>
          <w:rFonts w:ascii="黑体" w:eastAsia="黑体" w:cs="Times New Roman" w:hint="eastAsia"/>
          <w:bCs/>
          <w:kern w:val="2"/>
          <w:sz w:val="32"/>
          <w:szCs w:val="32"/>
        </w:rPr>
        <w:t>公开</w:t>
      </w:r>
      <w:r>
        <w:rPr>
          <w:rFonts w:ascii="黑体" w:eastAsia="黑体" w:cs="Times New Roman" w:hint="eastAsia"/>
          <w:bCs/>
          <w:kern w:val="2"/>
          <w:sz w:val="32"/>
          <w:szCs w:val="32"/>
        </w:rPr>
        <w:t>报表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一、单位收支总体情况表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二、单位收入总体情况表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三、单位支出总体情况表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四、财政拨款收支总体情况表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kern w:val="2"/>
          <w:sz w:val="32"/>
          <w:szCs w:val="32"/>
        </w:rPr>
        <w:t>五、一般公共预算支出</w:t>
      </w:r>
      <w:r>
        <w:rPr>
          <w:rFonts w:cs="Times New Roman" w:hint="eastAsia"/>
          <w:kern w:val="2"/>
          <w:sz w:val="32"/>
          <w:szCs w:val="32"/>
        </w:rPr>
        <w:t>情况</w:t>
      </w:r>
      <w:r>
        <w:rPr>
          <w:rFonts w:cs="Times New Roman"/>
          <w:kern w:val="2"/>
          <w:sz w:val="32"/>
          <w:szCs w:val="32"/>
        </w:rPr>
        <w:t>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六、一般公共预算基本支出情况表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七、财政拨款“三公”经费、会议费和培训费支出情况表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八、政府性基金预算支出情况表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九、国有资本经营预算支出情况表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十、2023年度预算项目绩效目标公开表</w:t>
      </w:r>
    </w:p>
    <w:p w:rsidR="001350DD" w:rsidRDefault="001350DD">
      <w:pPr>
        <w:spacing w:line="348" w:lineRule="auto"/>
        <w:rPr>
          <w:rFonts w:ascii="仿宋" w:eastAsia="仿宋" w:hAnsi="仿宋"/>
          <w:b/>
          <w:sz w:val="32"/>
        </w:rPr>
      </w:pPr>
    </w:p>
    <w:p w:rsidR="001350DD" w:rsidRDefault="001350DD">
      <w:pPr>
        <w:spacing w:line="348" w:lineRule="auto"/>
        <w:rPr>
          <w:rFonts w:ascii="仿宋" w:eastAsia="仿宋" w:hAnsi="仿宋"/>
          <w:b/>
          <w:sz w:val="32"/>
        </w:rPr>
      </w:pPr>
    </w:p>
    <w:p w:rsidR="001350DD" w:rsidRDefault="001350DD">
      <w:pPr>
        <w:spacing w:line="348" w:lineRule="auto"/>
        <w:rPr>
          <w:rFonts w:ascii="仿宋" w:eastAsia="仿宋" w:hAnsi="仿宋"/>
          <w:b/>
          <w:sz w:val="32"/>
        </w:rPr>
      </w:pPr>
    </w:p>
    <w:p w:rsidR="001350DD" w:rsidRDefault="001350DD">
      <w:pPr>
        <w:spacing w:line="348" w:lineRule="auto"/>
        <w:rPr>
          <w:rFonts w:ascii="仿宋" w:eastAsia="仿宋" w:hAnsi="仿宋"/>
          <w:b/>
          <w:sz w:val="32"/>
        </w:rPr>
      </w:pPr>
    </w:p>
    <w:p w:rsidR="001350DD" w:rsidRPr="009B587D" w:rsidRDefault="001350DD">
      <w:pPr>
        <w:spacing w:line="348" w:lineRule="auto"/>
        <w:rPr>
          <w:rFonts w:ascii="仿宋" w:eastAsia="仿宋" w:hAnsi="仿宋"/>
          <w:b/>
          <w:sz w:val="32"/>
        </w:rPr>
      </w:pPr>
    </w:p>
    <w:p w:rsidR="001350DD" w:rsidRDefault="00284F0E">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r>
        <w:rPr>
          <w:rFonts w:ascii="黑体" w:eastAsia="黑体" w:cs="Times New Roman" w:hint="eastAsia"/>
          <w:bCs/>
          <w:kern w:val="2"/>
          <w:sz w:val="32"/>
          <w:szCs w:val="32"/>
        </w:rPr>
        <w:lastRenderedPageBreak/>
        <w:t>第一部分：单位概况</w:t>
      </w:r>
    </w:p>
    <w:p w:rsidR="001350DD" w:rsidRDefault="00284F0E">
      <w:pPr>
        <w:autoSpaceDE/>
        <w:autoSpaceDN/>
        <w:adjustRightInd w:val="0"/>
        <w:snapToGrid w:val="0"/>
        <w:spacing w:line="600" w:lineRule="exact"/>
        <w:ind w:rightChars="-104" w:right="-229" w:firstLineChars="200" w:firstLine="640"/>
        <w:jc w:val="both"/>
        <w:rPr>
          <w:rFonts w:ascii="黑体" w:eastAsia="黑体" w:cs="Times New Roman"/>
          <w:bCs/>
          <w:kern w:val="2"/>
          <w:sz w:val="32"/>
          <w:szCs w:val="32"/>
        </w:rPr>
      </w:pPr>
      <w:r>
        <w:rPr>
          <w:rFonts w:ascii="黑体" w:eastAsia="黑体" w:cs="Times New Roman" w:hint="eastAsia"/>
          <w:bCs/>
          <w:kern w:val="2"/>
          <w:sz w:val="32"/>
          <w:szCs w:val="32"/>
        </w:rPr>
        <w:t>一、主要职责</w:t>
      </w:r>
    </w:p>
    <w:p w:rsidR="001350DD" w:rsidRDefault="00284F0E">
      <w:pPr>
        <w:autoSpaceDE/>
        <w:autoSpaceDN/>
        <w:spacing w:line="600" w:lineRule="exact"/>
        <w:ind w:firstLineChars="200" w:firstLine="640"/>
        <w:jc w:val="both"/>
        <w:rPr>
          <w:rFonts w:cs="Times New Roman"/>
          <w:kern w:val="2"/>
          <w:sz w:val="32"/>
          <w:szCs w:val="32"/>
        </w:rPr>
      </w:pPr>
      <w:r>
        <w:rPr>
          <w:rFonts w:cs="Times New Roman" w:hint="eastAsia"/>
          <w:kern w:val="2"/>
          <w:sz w:val="32"/>
          <w:szCs w:val="32"/>
        </w:rPr>
        <w:t>负责广播电视信号在玉林市及周边地区范围传输、转播、发射、</w:t>
      </w:r>
      <w:r>
        <w:rPr>
          <w:rFonts w:cs="Times New Roman"/>
          <w:kern w:val="2"/>
          <w:sz w:val="32"/>
          <w:szCs w:val="32"/>
        </w:rPr>
        <w:t>承担所辖广播电视无线发射台站设备维护管理</w:t>
      </w:r>
      <w:r>
        <w:rPr>
          <w:rFonts w:cs="Times New Roman" w:hint="eastAsia"/>
          <w:kern w:val="2"/>
          <w:sz w:val="32"/>
          <w:szCs w:val="32"/>
        </w:rPr>
        <w:t>、</w:t>
      </w:r>
      <w:r>
        <w:rPr>
          <w:rFonts w:cs="Times New Roman"/>
          <w:kern w:val="2"/>
          <w:sz w:val="32"/>
          <w:szCs w:val="32"/>
        </w:rPr>
        <w:t>承担所辖区域应急广播业务开展以及新闻出版广播影视新媒体新业务（无线）的集成分发</w:t>
      </w:r>
      <w:r>
        <w:rPr>
          <w:rFonts w:cs="Times New Roman" w:hint="eastAsia"/>
          <w:kern w:val="2"/>
          <w:sz w:val="32"/>
          <w:szCs w:val="32"/>
        </w:rPr>
        <w:t>，具体包括：</w:t>
      </w:r>
    </w:p>
    <w:p w:rsidR="001350DD" w:rsidRDefault="00284F0E">
      <w:pPr>
        <w:autoSpaceDE/>
        <w:autoSpaceDN/>
        <w:spacing w:line="600" w:lineRule="exact"/>
        <w:ind w:firstLineChars="200" w:firstLine="640"/>
        <w:jc w:val="both"/>
        <w:rPr>
          <w:rFonts w:cs="Times New Roman"/>
          <w:kern w:val="2"/>
          <w:sz w:val="32"/>
          <w:szCs w:val="32"/>
        </w:rPr>
      </w:pPr>
      <w:r>
        <w:rPr>
          <w:rFonts w:cs="Times New Roman"/>
          <w:kern w:val="2"/>
          <w:sz w:val="32"/>
          <w:szCs w:val="32"/>
        </w:rPr>
        <w:t>（一）负责广播电视信号在玉林市及周边地区范围传输、转播、发射</w:t>
      </w:r>
      <w:r>
        <w:rPr>
          <w:rFonts w:cs="Times New Roman" w:hint="eastAsia"/>
          <w:kern w:val="2"/>
          <w:sz w:val="32"/>
          <w:szCs w:val="32"/>
        </w:rPr>
        <w:t>。</w:t>
      </w:r>
    </w:p>
    <w:p w:rsidR="001350DD" w:rsidRDefault="00284F0E">
      <w:pPr>
        <w:autoSpaceDE/>
        <w:autoSpaceDN/>
        <w:spacing w:line="600" w:lineRule="exact"/>
        <w:ind w:firstLineChars="200" w:firstLine="640"/>
        <w:jc w:val="both"/>
        <w:rPr>
          <w:rFonts w:cs="Times New Roman"/>
          <w:kern w:val="2"/>
          <w:sz w:val="32"/>
          <w:szCs w:val="32"/>
        </w:rPr>
      </w:pPr>
      <w:r>
        <w:rPr>
          <w:rFonts w:cs="Times New Roman" w:hint="eastAsia"/>
          <w:kern w:val="2"/>
          <w:sz w:val="32"/>
          <w:szCs w:val="32"/>
        </w:rPr>
        <w:t>（二）承担所辖广播电视无线发射台站设备维护管理。</w:t>
      </w:r>
    </w:p>
    <w:p w:rsidR="001350DD" w:rsidRDefault="00284F0E">
      <w:pPr>
        <w:autoSpaceDE/>
        <w:autoSpaceDN/>
        <w:spacing w:line="600" w:lineRule="exact"/>
        <w:ind w:firstLineChars="200" w:firstLine="640"/>
        <w:jc w:val="both"/>
        <w:rPr>
          <w:rFonts w:cs="Times New Roman"/>
          <w:kern w:val="2"/>
          <w:sz w:val="32"/>
          <w:szCs w:val="32"/>
        </w:rPr>
      </w:pPr>
      <w:r>
        <w:rPr>
          <w:rFonts w:cs="Times New Roman" w:hint="eastAsia"/>
          <w:kern w:val="2"/>
          <w:sz w:val="32"/>
          <w:szCs w:val="32"/>
        </w:rPr>
        <w:t>（三）承担所辖区域应急广播业务开展以及新闻出版广播影视新媒体新业务（无线）的集成分发。</w:t>
      </w:r>
    </w:p>
    <w:p w:rsidR="001350DD" w:rsidRDefault="00284F0E">
      <w:pPr>
        <w:autoSpaceDE/>
        <w:autoSpaceDN/>
        <w:spacing w:line="600" w:lineRule="exact"/>
        <w:ind w:firstLineChars="200" w:firstLine="640"/>
        <w:jc w:val="both"/>
        <w:rPr>
          <w:rFonts w:ascii="黑体" w:eastAsia="黑体" w:cs="Times New Roman"/>
          <w:kern w:val="2"/>
          <w:sz w:val="32"/>
          <w:szCs w:val="32"/>
        </w:rPr>
      </w:pPr>
      <w:r>
        <w:rPr>
          <w:rFonts w:ascii="黑体" w:eastAsia="黑体" w:cs="Times New Roman" w:hint="eastAsia"/>
          <w:kern w:val="2"/>
          <w:sz w:val="32"/>
          <w:szCs w:val="32"/>
        </w:rPr>
        <w:t>二、机构设置情况</w:t>
      </w:r>
    </w:p>
    <w:p w:rsidR="001350DD" w:rsidRDefault="00284F0E">
      <w:pPr>
        <w:snapToGrid w:val="0"/>
        <w:spacing w:line="520" w:lineRule="exact"/>
        <w:ind w:firstLineChars="200" w:firstLine="640"/>
        <w:rPr>
          <w:rFonts w:cs="Times New Roman"/>
          <w:kern w:val="2"/>
          <w:sz w:val="32"/>
          <w:szCs w:val="32"/>
        </w:rPr>
      </w:pPr>
      <w:r>
        <w:rPr>
          <w:rFonts w:cs="Times New Roman" w:hint="eastAsia"/>
          <w:kern w:val="2"/>
          <w:sz w:val="32"/>
          <w:szCs w:val="32"/>
        </w:rPr>
        <w:t>广西广播电视技术中心玉林为三级预算单位，属公益一类事业单位，隶属于广西壮族自治区广播电视局。其内设办公室、</w:t>
      </w:r>
      <w:r>
        <w:rPr>
          <w:rFonts w:cs="Times New Roman"/>
          <w:kern w:val="2"/>
          <w:sz w:val="32"/>
          <w:szCs w:val="32"/>
        </w:rPr>
        <w:t>241维护部、244维护部、玉林维护部共4个部门</w:t>
      </w:r>
      <w:r>
        <w:rPr>
          <w:rFonts w:cs="Times New Roman" w:hint="eastAsia"/>
          <w:kern w:val="2"/>
          <w:sz w:val="32"/>
          <w:szCs w:val="32"/>
        </w:rPr>
        <w:t>。</w:t>
      </w:r>
    </w:p>
    <w:p w:rsidR="001350DD" w:rsidRDefault="00284F0E">
      <w:pPr>
        <w:snapToGrid w:val="0"/>
        <w:spacing w:line="520" w:lineRule="exact"/>
        <w:ind w:firstLineChars="200" w:firstLine="640"/>
        <w:rPr>
          <w:rFonts w:cs="Times New Roman"/>
          <w:kern w:val="2"/>
          <w:sz w:val="32"/>
          <w:szCs w:val="32"/>
        </w:rPr>
      </w:pPr>
      <w:r>
        <w:rPr>
          <w:rFonts w:cs="Times New Roman" w:hint="eastAsia"/>
          <w:kern w:val="2"/>
          <w:sz w:val="32"/>
          <w:szCs w:val="32"/>
        </w:rPr>
        <w:t>2023年纳入单位预算人员编制共58人，其中事业编制数57人，机关后勤服务中心控制数1人。在职实有人数共58人，其中事业实有人数57人，机关后勤服务中心控制数实有人数1人。</w:t>
      </w:r>
    </w:p>
    <w:p w:rsidR="001350DD" w:rsidRDefault="00284F0E">
      <w:pPr>
        <w:snapToGrid w:val="0"/>
        <w:spacing w:line="520" w:lineRule="exact"/>
        <w:ind w:firstLineChars="200" w:firstLine="640"/>
        <w:rPr>
          <w:rFonts w:cs="Times New Roman"/>
          <w:kern w:val="2"/>
          <w:sz w:val="32"/>
          <w:szCs w:val="32"/>
        </w:rPr>
      </w:pPr>
      <w:r>
        <w:rPr>
          <w:rFonts w:cs="Times New Roman" w:hint="eastAsia"/>
          <w:kern w:val="2"/>
          <w:sz w:val="32"/>
          <w:szCs w:val="32"/>
        </w:rPr>
        <w:t>2023年纳入单位预算离退休人员共49人，均为退休人员。</w:t>
      </w:r>
    </w:p>
    <w:p w:rsidR="009B587D" w:rsidRDefault="009B587D">
      <w:pPr>
        <w:snapToGrid w:val="0"/>
        <w:spacing w:line="520" w:lineRule="exact"/>
        <w:ind w:firstLineChars="200" w:firstLine="640"/>
        <w:rPr>
          <w:rFonts w:cs="Times New Roman"/>
          <w:kern w:val="2"/>
          <w:sz w:val="32"/>
          <w:szCs w:val="32"/>
        </w:rPr>
      </w:pPr>
    </w:p>
    <w:p w:rsidR="001350DD" w:rsidRDefault="00284F0E">
      <w:pPr>
        <w:tabs>
          <w:tab w:val="center" w:pos="4475"/>
        </w:tabs>
        <w:autoSpaceDE/>
        <w:autoSpaceDN/>
        <w:spacing w:line="600" w:lineRule="exact"/>
        <w:ind w:firstLine="645"/>
        <w:jc w:val="both"/>
        <w:rPr>
          <w:rFonts w:ascii="黑体" w:eastAsia="黑体" w:hAnsi="Times New Roman" w:cs="Times New Roman"/>
          <w:kern w:val="2"/>
          <w:sz w:val="32"/>
          <w:szCs w:val="32"/>
        </w:rPr>
      </w:pPr>
      <w:r>
        <w:rPr>
          <w:rFonts w:ascii="黑体" w:eastAsia="黑体" w:hAnsi="Times New Roman" w:cs="Times New Roman" w:hint="eastAsia"/>
          <w:kern w:val="2"/>
          <w:sz w:val="32"/>
          <w:szCs w:val="32"/>
        </w:rPr>
        <w:t>第二部分：广西广播电视技术中心玉林分中</w:t>
      </w:r>
      <w:r>
        <w:rPr>
          <w:rFonts w:ascii="黑体" w:eastAsia="黑体" w:cs="Times New Roman" w:hint="eastAsia"/>
          <w:kern w:val="2"/>
          <w:sz w:val="32"/>
          <w:szCs w:val="32"/>
        </w:rPr>
        <w:t>心2023年</w:t>
      </w:r>
      <w:r>
        <w:rPr>
          <w:rFonts w:ascii="黑体" w:eastAsia="黑体" w:hAnsi="Times New Roman" w:cs="Times New Roman" w:hint="eastAsia"/>
          <w:kern w:val="2"/>
          <w:sz w:val="32"/>
          <w:szCs w:val="32"/>
        </w:rPr>
        <w:t>单位预算情况说明</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一、单位收支预算情况说明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lastRenderedPageBreak/>
        <w:t>2</w:t>
      </w:r>
      <w:r>
        <w:rPr>
          <w:rFonts w:cs="Times New Roman"/>
          <w:kern w:val="2"/>
          <w:sz w:val="32"/>
          <w:szCs w:val="32"/>
        </w:rPr>
        <w:t>02</w:t>
      </w:r>
      <w:r>
        <w:rPr>
          <w:rFonts w:cs="Times New Roman" w:hint="eastAsia"/>
          <w:kern w:val="2"/>
          <w:sz w:val="32"/>
          <w:szCs w:val="32"/>
        </w:rPr>
        <w:t>3</w:t>
      </w:r>
      <w:r>
        <w:rPr>
          <w:rFonts w:cs="Times New Roman"/>
          <w:kern w:val="2"/>
          <w:sz w:val="32"/>
          <w:szCs w:val="32"/>
        </w:rPr>
        <w:t>年收入总预算</w:t>
      </w:r>
      <w:r>
        <w:rPr>
          <w:rFonts w:cs="Times New Roman" w:hint="eastAsia"/>
          <w:kern w:val="2"/>
          <w:sz w:val="32"/>
          <w:szCs w:val="32"/>
        </w:rPr>
        <w:t>1,977.66</w:t>
      </w:r>
      <w:r>
        <w:rPr>
          <w:rFonts w:cs="Times New Roman"/>
          <w:kern w:val="2"/>
          <w:sz w:val="32"/>
          <w:szCs w:val="32"/>
        </w:rPr>
        <w:t>万元，同比上年</w:t>
      </w:r>
      <w:r>
        <w:rPr>
          <w:rFonts w:cs="Times New Roman" w:hint="eastAsia"/>
          <w:kern w:val="2"/>
          <w:sz w:val="32"/>
          <w:szCs w:val="32"/>
        </w:rPr>
        <w:t>增加59.63</w:t>
      </w:r>
      <w:r>
        <w:rPr>
          <w:rFonts w:cs="Times New Roman"/>
          <w:kern w:val="2"/>
          <w:sz w:val="32"/>
          <w:szCs w:val="32"/>
        </w:rPr>
        <w:t>万元，</w:t>
      </w:r>
      <w:r>
        <w:rPr>
          <w:rFonts w:cs="Times New Roman" w:hint="eastAsia"/>
          <w:kern w:val="2"/>
          <w:sz w:val="32"/>
          <w:szCs w:val="32"/>
        </w:rPr>
        <w:t>增长3.11%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202</w:t>
      </w:r>
      <w:r>
        <w:rPr>
          <w:rFonts w:cs="Times New Roman" w:hint="eastAsia"/>
          <w:kern w:val="2"/>
          <w:sz w:val="32"/>
          <w:szCs w:val="32"/>
        </w:rPr>
        <w:t>3</w:t>
      </w:r>
      <w:r>
        <w:rPr>
          <w:rFonts w:cs="Times New Roman"/>
          <w:kern w:val="2"/>
          <w:sz w:val="32"/>
          <w:szCs w:val="32"/>
        </w:rPr>
        <w:t>年收入总预算总体</w:t>
      </w:r>
      <w:r>
        <w:rPr>
          <w:rFonts w:cs="Times New Roman" w:hint="eastAsia"/>
          <w:kern w:val="2"/>
          <w:sz w:val="32"/>
          <w:szCs w:val="32"/>
        </w:rPr>
        <w:t>增加</w:t>
      </w:r>
      <w:r>
        <w:rPr>
          <w:rFonts w:cs="Times New Roman"/>
          <w:kern w:val="2"/>
          <w:sz w:val="32"/>
          <w:szCs w:val="32"/>
        </w:rPr>
        <w:t>的主要原因</w:t>
      </w:r>
      <w:r>
        <w:rPr>
          <w:rFonts w:cs="Times New Roman" w:hint="eastAsia"/>
          <w:kern w:val="2"/>
          <w:sz w:val="32"/>
          <w:szCs w:val="32"/>
        </w:rPr>
        <w:t>是项目经费的增加。</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2</w:t>
      </w:r>
      <w:r>
        <w:rPr>
          <w:rFonts w:cs="Times New Roman"/>
          <w:kern w:val="2"/>
          <w:sz w:val="32"/>
          <w:szCs w:val="32"/>
        </w:rPr>
        <w:t>02</w:t>
      </w:r>
      <w:r>
        <w:rPr>
          <w:rFonts w:cs="Times New Roman" w:hint="eastAsia"/>
          <w:kern w:val="2"/>
          <w:sz w:val="32"/>
          <w:szCs w:val="32"/>
        </w:rPr>
        <w:t>3</w:t>
      </w:r>
      <w:r>
        <w:rPr>
          <w:rFonts w:cs="Times New Roman"/>
          <w:kern w:val="2"/>
          <w:sz w:val="32"/>
          <w:szCs w:val="32"/>
        </w:rPr>
        <w:t>年支出总预算</w:t>
      </w:r>
      <w:r>
        <w:rPr>
          <w:rFonts w:cs="Times New Roman" w:hint="eastAsia"/>
          <w:kern w:val="2"/>
          <w:sz w:val="32"/>
          <w:szCs w:val="32"/>
        </w:rPr>
        <w:t>1,977.66</w:t>
      </w:r>
      <w:r>
        <w:rPr>
          <w:rFonts w:cs="Times New Roman"/>
          <w:kern w:val="2"/>
          <w:sz w:val="32"/>
          <w:szCs w:val="32"/>
        </w:rPr>
        <w:t>万元，同比上年</w:t>
      </w:r>
      <w:r>
        <w:rPr>
          <w:rFonts w:cs="Times New Roman" w:hint="eastAsia"/>
          <w:kern w:val="2"/>
          <w:sz w:val="32"/>
          <w:szCs w:val="32"/>
        </w:rPr>
        <w:t>增加59.63</w:t>
      </w:r>
      <w:r>
        <w:rPr>
          <w:rFonts w:cs="Times New Roman"/>
          <w:kern w:val="2"/>
          <w:sz w:val="32"/>
          <w:szCs w:val="32"/>
        </w:rPr>
        <w:t>万元，</w:t>
      </w:r>
      <w:r>
        <w:rPr>
          <w:rFonts w:cs="Times New Roman" w:hint="eastAsia"/>
          <w:kern w:val="2"/>
          <w:sz w:val="32"/>
          <w:szCs w:val="32"/>
        </w:rPr>
        <w:t>增长3.11%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支出增加的主要原因与收入增加的主要原因相同。</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二、单位收入预算情况说明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2</w:t>
      </w:r>
      <w:r>
        <w:rPr>
          <w:rFonts w:cs="Times New Roman"/>
          <w:kern w:val="2"/>
          <w:sz w:val="32"/>
          <w:szCs w:val="32"/>
        </w:rPr>
        <w:t>02</w:t>
      </w:r>
      <w:r>
        <w:rPr>
          <w:rFonts w:cs="Times New Roman" w:hint="eastAsia"/>
          <w:kern w:val="2"/>
          <w:sz w:val="32"/>
          <w:szCs w:val="32"/>
        </w:rPr>
        <w:t>3</w:t>
      </w:r>
      <w:r>
        <w:rPr>
          <w:rFonts w:cs="Times New Roman"/>
          <w:kern w:val="2"/>
          <w:sz w:val="32"/>
          <w:szCs w:val="32"/>
        </w:rPr>
        <w:t>年收入总预算</w:t>
      </w:r>
      <w:r>
        <w:rPr>
          <w:rFonts w:cs="Times New Roman" w:hint="eastAsia"/>
          <w:kern w:val="2"/>
          <w:sz w:val="32"/>
          <w:szCs w:val="32"/>
        </w:rPr>
        <w:t>1,977.66</w:t>
      </w:r>
      <w:r>
        <w:rPr>
          <w:rFonts w:cs="Times New Roman"/>
          <w:kern w:val="2"/>
          <w:sz w:val="32"/>
          <w:szCs w:val="32"/>
        </w:rPr>
        <w:t>万元</w:t>
      </w:r>
      <w:r>
        <w:rPr>
          <w:rFonts w:cs="Times New Roman" w:hint="eastAsia"/>
          <w:kern w:val="2"/>
          <w:sz w:val="32"/>
          <w:szCs w:val="32"/>
        </w:rPr>
        <w:t>，</w:t>
      </w:r>
      <w:r>
        <w:rPr>
          <w:rFonts w:cs="Times New Roman"/>
          <w:kern w:val="2"/>
          <w:sz w:val="32"/>
          <w:szCs w:val="32"/>
        </w:rPr>
        <w:t>同比上年增加</w:t>
      </w:r>
      <w:r>
        <w:rPr>
          <w:rFonts w:cs="Times New Roman" w:hint="eastAsia"/>
          <w:kern w:val="2"/>
          <w:sz w:val="32"/>
          <w:szCs w:val="32"/>
        </w:rPr>
        <w:t>59.63</w:t>
      </w:r>
      <w:r>
        <w:rPr>
          <w:rFonts w:cs="Times New Roman"/>
          <w:kern w:val="2"/>
          <w:sz w:val="32"/>
          <w:szCs w:val="32"/>
        </w:rPr>
        <w:t>万元，</w:t>
      </w:r>
      <w:r>
        <w:rPr>
          <w:rFonts w:cs="Times New Roman" w:hint="eastAsia"/>
          <w:kern w:val="2"/>
          <w:sz w:val="32"/>
          <w:szCs w:val="32"/>
        </w:rPr>
        <w:t>增长3.11%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（一）一般公共预算拨款增（减）原因</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一般公共预算拨款1,868.96</w:t>
      </w:r>
      <w:r>
        <w:rPr>
          <w:rFonts w:cs="Times New Roman"/>
          <w:kern w:val="2"/>
          <w:sz w:val="32"/>
          <w:szCs w:val="32"/>
        </w:rPr>
        <w:t>万元，同比上年增加</w:t>
      </w:r>
      <w:r>
        <w:rPr>
          <w:rFonts w:cs="Times New Roman" w:hint="eastAsia"/>
          <w:kern w:val="2"/>
          <w:sz w:val="32"/>
          <w:szCs w:val="32"/>
        </w:rPr>
        <w:t>36.13</w:t>
      </w:r>
      <w:r>
        <w:rPr>
          <w:rFonts w:cs="Times New Roman"/>
          <w:kern w:val="2"/>
          <w:sz w:val="32"/>
          <w:szCs w:val="32"/>
        </w:rPr>
        <w:t>万元，</w:t>
      </w:r>
      <w:r>
        <w:rPr>
          <w:rFonts w:cs="Times New Roman" w:hint="eastAsia"/>
          <w:kern w:val="2"/>
          <w:sz w:val="32"/>
          <w:szCs w:val="32"/>
        </w:rPr>
        <w:t>增长1.97%</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增加的主要原因是项目经费的增加</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（二）其他收入增（减）原因</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其他收入74.00</w:t>
      </w:r>
      <w:r>
        <w:rPr>
          <w:rFonts w:cs="Times New Roman"/>
          <w:kern w:val="2"/>
          <w:sz w:val="32"/>
          <w:szCs w:val="32"/>
        </w:rPr>
        <w:t>万元，同比增加</w:t>
      </w:r>
      <w:r>
        <w:rPr>
          <w:rFonts w:cs="Times New Roman" w:hint="eastAsia"/>
          <w:kern w:val="2"/>
          <w:sz w:val="32"/>
          <w:szCs w:val="32"/>
        </w:rPr>
        <w:t>3.80</w:t>
      </w:r>
      <w:r>
        <w:rPr>
          <w:rFonts w:cs="Times New Roman"/>
          <w:kern w:val="2"/>
          <w:sz w:val="32"/>
          <w:szCs w:val="32"/>
        </w:rPr>
        <w:t>万元，增长</w:t>
      </w:r>
      <w:r>
        <w:rPr>
          <w:rFonts w:cs="Times New Roman" w:hint="eastAsia"/>
          <w:kern w:val="2"/>
          <w:sz w:val="32"/>
          <w:szCs w:val="32"/>
        </w:rPr>
        <w:t>5.41%</w:t>
      </w:r>
      <w:r>
        <w:rPr>
          <w:rFonts w:cs="Times New Roman"/>
          <w:kern w:val="2"/>
          <w:sz w:val="32"/>
          <w:szCs w:val="32"/>
        </w:rPr>
        <w:t>。</w:t>
      </w:r>
      <w:r>
        <w:rPr>
          <w:rFonts w:cs="Times New Roman" w:hint="eastAsia"/>
          <w:kern w:val="2"/>
          <w:sz w:val="32"/>
          <w:szCs w:val="32"/>
        </w:rPr>
        <w:t>增加的</w:t>
      </w:r>
      <w:r>
        <w:rPr>
          <w:rFonts w:cs="Times New Roman"/>
          <w:kern w:val="2"/>
          <w:sz w:val="32"/>
          <w:szCs w:val="32"/>
        </w:rPr>
        <w:t>主要原因为</w:t>
      </w:r>
      <w:r>
        <w:rPr>
          <w:rFonts w:cs="Times New Roman" w:hint="eastAsia"/>
          <w:kern w:val="2"/>
          <w:sz w:val="32"/>
          <w:szCs w:val="32"/>
        </w:rPr>
        <w:t>241台生活区出租铺面签订新合同，房租比旧合同高。</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（三）上年结转结余增（减）原因</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上年结余结转34.70万元，同比增加19.70万元，增长131%。增长的主要原因是历年结余经费有剩余。</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三、单位支出预算情况说明</w:t>
      </w:r>
    </w:p>
    <w:p w:rsidR="001350DD" w:rsidRDefault="00284F0E">
      <w:pPr>
        <w:spacing w:line="348" w:lineRule="auto"/>
        <w:ind w:firstLineChars="200" w:firstLine="640"/>
        <w:rPr>
          <w:rFonts w:cs="Times New Roman"/>
          <w:kern w:val="2"/>
          <w:sz w:val="32"/>
          <w:szCs w:val="32"/>
        </w:rPr>
      </w:pPr>
      <w:r>
        <w:rPr>
          <w:rFonts w:cs="Times New Roman"/>
          <w:kern w:val="2"/>
          <w:sz w:val="32"/>
          <w:szCs w:val="32"/>
        </w:rPr>
        <w:lastRenderedPageBreak/>
        <w:t>202</w:t>
      </w:r>
      <w:r>
        <w:rPr>
          <w:rFonts w:cs="Times New Roman" w:hint="eastAsia"/>
          <w:kern w:val="2"/>
          <w:sz w:val="32"/>
          <w:szCs w:val="32"/>
        </w:rPr>
        <w:t>3</w:t>
      </w:r>
      <w:r>
        <w:rPr>
          <w:rFonts w:cs="Times New Roman"/>
          <w:kern w:val="2"/>
          <w:sz w:val="32"/>
          <w:szCs w:val="32"/>
        </w:rPr>
        <w:t>年支出总预算</w:t>
      </w:r>
      <w:r>
        <w:rPr>
          <w:rFonts w:cs="Times New Roman" w:hint="eastAsia"/>
          <w:kern w:val="2"/>
          <w:sz w:val="32"/>
          <w:szCs w:val="32"/>
        </w:rPr>
        <w:t>1,977.66</w:t>
      </w:r>
      <w:r>
        <w:rPr>
          <w:rFonts w:cs="Times New Roman"/>
          <w:kern w:val="2"/>
          <w:sz w:val="32"/>
          <w:szCs w:val="32"/>
        </w:rPr>
        <w:t>万元，同比上年</w:t>
      </w:r>
      <w:r>
        <w:rPr>
          <w:rFonts w:cs="Times New Roman" w:hint="eastAsia"/>
          <w:kern w:val="2"/>
          <w:sz w:val="32"/>
          <w:szCs w:val="32"/>
        </w:rPr>
        <w:t>增加59.63</w:t>
      </w:r>
      <w:r>
        <w:rPr>
          <w:rFonts w:cs="Times New Roman"/>
          <w:kern w:val="2"/>
          <w:sz w:val="32"/>
          <w:szCs w:val="32"/>
        </w:rPr>
        <w:t>万元，增长</w:t>
      </w:r>
      <w:r>
        <w:rPr>
          <w:rFonts w:cs="Times New Roman" w:hint="eastAsia"/>
          <w:kern w:val="2"/>
          <w:sz w:val="32"/>
          <w:szCs w:val="32"/>
        </w:rPr>
        <w:t>3.11%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按支出结构分类划分，分为基本支出预算和项目支出预算。</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（一）基本支出预算</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基本支出预算1,278.02</w:t>
      </w:r>
      <w:r>
        <w:rPr>
          <w:rFonts w:cs="Times New Roman"/>
          <w:kern w:val="2"/>
          <w:sz w:val="32"/>
          <w:szCs w:val="32"/>
        </w:rPr>
        <w:t>万元，占支出总预算</w:t>
      </w:r>
      <w:r>
        <w:rPr>
          <w:rFonts w:cs="Times New Roman" w:hint="eastAsia"/>
          <w:kern w:val="2"/>
          <w:sz w:val="32"/>
          <w:szCs w:val="32"/>
        </w:rPr>
        <w:t>64.62%，同比减少76.40</w:t>
      </w:r>
      <w:r>
        <w:rPr>
          <w:rFonts w:cs="Times New Roman"/>
          <w:kern w:val="2"/>
          <w:sz w:val="32"/>
          <w:szCs w:val="32"/>
        </w:rPr>
        <w:t>万元，</w:t>
      </w:r>
      <w:r>
        <w:rPr>
          <w:rFonts w:cs="Times New Roman" w:hint="eastAsia"/>
          <w:kern w:val="2"/>
          <w:sz w:val="32"/>
          <w:szCs w:val="32"/>
        </w:rPr>
        <w:t>下降5.64%；</w:t>
      </w:r>
      <w:r>
        <w:rPr>
          <w:rFonts w:cs="Times New Roman"/>
          <w:kern w:val="2"/>
          <w:sz w:val="32"/>
          <w:szCs w:val="32"/>
        </w:rPr>
        <w:t>其中：</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工资福利支出1,056.63</w:t>
      </w:r>
      <w:r>
        <w:rPr>
          <w:rFonts w:cs="Times New Roman"/>
          <w:kern w:val="2"/>
          <w:sz w:val="32"/>
          <w:szCs w:val="32"/>
        </w:rPr>
        <w:t>万元，占支出总预算</w:t>
      </w:r>
      <w:r>
        <w:rPr>
          <w:rFonts w:cs="Times New Roman" w:hint="eastAsia"/>
          <w:kern w:val="2"/>
          <w:sz w:val="32"/>
          <w:szCs w:val="32"/>
        </w:rPr>
        <w:t>53.43%，同比减少78.00</w:t>
      </w:r>
      <w:r>
        <w:rPr>
          <w:rFonts w:cs="Times New Roman"/>
          <w:kern w:val="2"/>
          <w:sz w:val="32"/>
          <w:szCs w:val="32"/>
        </w:rPr>
        <w:t>万元，</w:t>
      </w:r>
      <w:r>
        <w:rPr>
          <w:rFonts w:cs="Times New Roman" w:hint="eastAsia"/>
          <w:kern w:val="2"/>
          <w:sz w:val="32"/>
          <w:szCs w:val="32"/>
        </w:rPr>
        <w:t>下降6.87%。</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商品和服务支出118.81</w:t>
      </w:r>
      <w:r>
        <w:rPr>
          <w:rFonts w:cs="Times New Roman"/>
          <w:kern w:val="2"/>
          <w:sz w:val="32"/>
          <w:szCs w:val="32"/>
        </w:rPr>
        <w:t>万元，占支出总预算</w:t>
      </w:r>
      <w:r>
        <w:rPr>
          <w:rFonts w:cs="Times New Roman" w:hint="eastAsia"/>
          <w:kern w:val="2"/>
          <w:sz w:val="32"/>
          <w:szCs w:val="32"/>
        </w:rPr>
        <w:t>6.00%</w:t>
      </w:r>
      <w:r>
        <w:rPr>
          <w:rFonts w:cs="Times New Roman"/>
          <w:kern w:val="2"/>
          <w:sz w:val="32"/>
          <w:szCs w:val="32"/>
        </w:rPr>
        <w:t>，</w:t>
      </w:r>
      <w:r>
        <w:rPr>
          <w:rFonts w:cs="Times New Roman" w:hint="eastAsia"/>
          <w:kern w:val="2"/>
          <w:sz w:val="32"/>
          <w:szCs w:val="32"/>
        </w:rPr>
        <w:t>同比减少1.71</w:t>
      </w:r>
      <w:r>
        <w:rPr>
          <w:rFonts w:cs="Times New Roman"/>
          <w:kern w:val="2"/>
          <w:sz w:val="32"/>
          <w:szCs w:val="32"/>
        </w:rPr>
        <w:t>万元，</w:t>
      </w:r>
      <w:r>
        <w:rPr>
          <w:rFonts w:cs="Times New Roman" w:hint="eastAsia"/>
          <w:kern w:val="2"/>
          <w:sz w:val="32"/>
          <w:szCs w:val="32"/>
        </w:rPr>
        <w:t>下降1.42%。</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个人和家庭补助支出102.58</w:t>
      </w:r>
      <w:r>
        <w:rPr>
          <w:rFonts w:cs="Times New Roman"/>
          <w:kern w:val="2"/>
          <w:sz w:val="32"/>
          <w:szCs w:val="32"/>
        </w:rPr>
        <w:t>万元，占支出总预算</w:t>
      </w:r>
      <w:r>
        <w:rPr>
          <w:rFonts w:cs="Times New Roman" w:hint="eastAsia"/>
          <w:kern w:val="2"/>
          <w:sz w:val="32"/>
          <w:szCs w:val="32"/>
        </w:rPr>
        <w:t>5.19%</w:t>
      </w:r>
      <w:r>
        <w:rPr>
          <w:rFonts w:cs="Times New Roman"/>
          <w:kern w:val="2"/>
          <w:sz w:val="32"/>
          <w:szCs w:val="32"/>
        </w:rPr>
        <w:t>，同比增加</w:t>
      </w:r>
      <w:r>
        <w:rPr>
          <w:rFonts w:cs="Times New Roman" w:hint="eastAsia"/>
          <w:kern w:val="2"/>
          <w:sz w:val="32"/>
          <w:szCs w:val="32"/>
        </w:rPr>
        <w:t>3.30</w:t>
      </w:r>
      <w:r>
        <w:rPr>
          <w:rFonts w:cs="Times New Roman"/>
          <w:kern w:val="2"/>
          <w:sz w:val="32"/>
          <w:szCs w:val="32"/>
        </w:rPr>
        <w:t>万元，增长</w:t>
      </w:r>
      <w:r>
        <w:rPr>
          <w:rFonts w:cs="Times New Roman" w:hint="eastAsia"/>
          <w:kern w:val="2"/>
          <w:sz w:val="32"/>
          <w:szCs w:val="32"/>
        </w:rPr>
        <w:t>3.32%</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（二）项目支出预算</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202</w:t>
      </w:r>
      <w:r>
        <w:rPr>
          <w:rFonts w:cs="Times New Roman" w:hint="eastAsia"/>
          <w:kern w:val="2"/>
          <w:sz w:val="32"/>
          <w:szCs w:val="32"/>
        </w:rPr>
        <w:t>2</w:t>
      </w:r>
      <w:r>
        <w:rPr>
          <w:rFonts w:cs="Times New Roman"/>
          <w:kern w:val="2"/>
          <w:sz w:val="32"/>
          <w:szCs w:val="32"/>
        </w:rPr>
        <w:t>年项目支出</w:t>
      </w:r>
      <w:r>
        <w:rPr>
          <w:rFonts w:cs="Times New Roman" w:hint="eastAsia"/>
          <w:kern w:val="2"/>
          <w:sz w:val="32"/>
          <w:szCs w:val="32"/>
        </w:rPr>
        <w:t>699.64</w:t>
      </w:r>
      <w:r>
        <w:rPr>
          <w:rFonts w:cs="Times New Roman"/>
          <w:kern w:val="2"/>
          <w:sz w:val="32"/>
          <w:szCs w:val="32"/>
        </w:rPr>
        <w:t>万元，占支出总预算</w:t>
      </w:r>
      <w:r>
        <w:rPr>
          <w:rFonts w:cs="Times New Roman" w:hint="eastAsia"/>
          <w:kern w:val="2"/>
          <w:sz w:val="32"/>
          <w:szCs w:val="32"/>
        </w:rPr>
        <w:t>35.38%</w:t>
      </w:r>
      <w:r>
        <w:rPr>
          <w:rFonts w:cs="Times New Roman"/>
          <w:kern w:val="2"/>
          <w:sz w:val="32"/>
          <w:szCs w:val="32"/>
        </w:rPr>
        <w:t xml:space="preserve"> ，</w:t>
      </w:r>
      <w:r>
        <w:rPr>
          <w:rFonts w:cs="Times New Roman" w:hint="eastAsia"/>
          <w:kern w:val="2"/>
          <w:sz w:val="32"/>
          <w:szCs w:val="32"/>
        </w:rPr>
        <w:t>同比增加136.03</w:t>
      </w:r>
      <w:r>
        <w:rPr>
          <w:rFonts w:cs="Times New Roman"/>
          <w:kern w:val="2"/>
          <w:sz w:val="32"/>
          <w:szCs w:val="32"/>
        </w:rPr>
        <w:t>万元，</w:t>
      </w:r>
      <w:r>
        <w:rPr>
          <w:rFonts w:cs="Times New Roman" w:hint="eastAsia"/>
          <w:kern w:val="2"/>
          <w:sz w:val="32"/>
          <w:szCs w:val="32"/>
        </w:rPr>
        <w:t>增长24.14%</w:t>
      </w:r>
      <w:r>
        <w:rPr>
          <w:rFonts w:cs="Times New Roman"/>
          <w:kern w:val="2"/>
          <w:sz w:val="32"/>
          <w:szCs w:val="32"/>
        </w:rPr>
        <w:t>。</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四、财政拨款收支预算情况说明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财政拨款总预算1,868.96</w:t>
      </w:r>
      <w:r>
        <w:rPr>
          <w:rFonts w:cs="Times New Roman"/>
          <w:kern w:val="2"/>
          <w:sz w:val="32"/>
          <w:szCs w:val="32"/>
        </w:rPr>
        <w:t>万元，同比上年</w:t>
      </w:r>
      <w:r>
        <w:rPr>
          <w:rFonts w:cs="Times New Roman" w:hint="eastAsia"/>
          <w:kern w:val="2"/>
          <w:sz w:val="32"/>
          <w:szCs w:val="32"/>
        </w:rPr>
        <w:t>增加36.13</w:t>
      </w:r>
      <w:r>
        <w:rPr>
          <w:rFonts w:cs="Times New Roman"/>
          <w:kern w:val="2"/>
          <w:sz w:val="32"/>
          <w:szCs w:val="32"/>
        </w:rPr>
        <w:t>万元，增长</w:t>
      </w:r>
      <w:r>
        <w:rPr>
          <w:rFonts w:cs="Times New Roman" w:hint="eastAsia"/>
          <w:kern w:val="2"/>
          <w:sz w:val="32"/>
          <w:szCs w:val="32"/>
        </w:rPr>
        <w:t>1.97%，均为一般公共预算拨款</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按照支出功能分类科目划分，共分为4</w:t>
      </w:r>
      <w:r>
        <w:rPr>
          <w:rFonts w:cs="Times New Roman"/>
          <w:kern w:val="2"/>
          <w:sz w:val="32"/>
          <w:szCs w:val="32"/>
        </w:rPr>
        <w:t>类，其中：</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文化旅游体育与传媒支出1,465.22</w:t>
      </w:r>
      <w:r>
        <w:rPr>
          <w:rFonts w:cs="Times New Roman"/>
          <w:kern w:val="2"/>
          <w:sz w:val="32"/>
          <w:szCs w:val="32"/>
        </w:rPr>
        <w:t>万元，占支出总预算</w:t>
      </w:r>
      <w:r>
        <w:rPr>
          <w:rFonts w:cs="Times New Roman" w:hint="eastAsia"/>
          <w:kern w:val="2"/>
          <w:sz w:val="32"/>
          <w:szCs w:val="32"/>
        </w:rPr>
        <w:t>74.09%</w:t>
      </w:r>
      <w:r>
        <w:rPr>
          <w:rFonts w:cs="Times New Roman"/>
          <w:kern w:val="2"/>
          <w:sz w:val="32"/>
          <w:szCs w:val="32"/>
        </w:rPr>
        <w:t>，同比</w:t>
      </w:r>
      <w:r>
        <w:rPr>
          <w:rFonts w:cs="Times New Roman" w:hint="eastAsia"/>
          <w:kern w:val="2"/>
          <w:sz w:val="32"/>
          <w:szCs w:val="32"/>
        </w:rPr>
        <w:t>增加55.07</w:t>
      </w:r>
      <w:r>
        <w:rPr>
          <w:rFonts w:cs="Times New Roman"/>
          <w:kern w:val="2"/>
          <w:sz w:val="32"/>
          <w:szCs w:val="32"/>
        </w:rPr>
        <w:t>万元，</w:t>
      </w:r>
      <w:r>
        <w:rPr>
          <w:rFonts w:cs="Times New Roman" w:hint="eastAsia"/>
          <w:kern w:val="2"/>
          <w:sz w:val="32"/>
          <w:szCs w:val="32"/>
        </w:rPr>
        <w:t>增长3.91%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lastRenderedPageBreak/>
        <w:t>社会保障和就业支出226.56</w:t>
      </w:r>
      <w:r>
        <w:rPr>
          <w:rFonts w:cs="Times New Roman"/>
          <w:kern w:val="2"/>
          <w:sz w:val="32"/>
          <w:szCs w:val="32"/>
        </w:rPr>
        <w:t>万元，占</w:t>
      </w:r>
      <w:r>
        <w:rPr>
          <w:rFonts w:cs="Times New Roman" w:hint="eastAsia"/>
          <w:kern w:val="2"/>
          <w:sz w:val="32"/>
          <w:szCs w:val="32"/>
        </w:rPr>
        <w:t>支出</w:t>
      </w:r>
      <w:r>
        <w:rPr>
          <w:rFonts w:cs="Times New Roman"/>
          <w:kern w:val="2"/>
          <w:sz w:val="32"/>
          <w:szCs w:val="32"/>
        </w:rPr>
        <w:t>总预算</w:t>
      </w:r>
      <w:r>
        <w:rPr>
          <w:rFonts w:cs="Times New Roman" w:hint="eastAsia"/>
          <w:kern w:val="2"/>
          <w:sz w:val="32"/>
          <w:szCs w:val="32"/>
        </w:rPr>
        <w:t>11.46%</w:t>
      </w:r>
      <w:r>
        <w:rPr>
          <w:rFonts w:cs="Times New Roman"/>
          <w:kern w:val="2"/>
          <w:sz w:val="32"/>
          <w:szCs w:val="32"/>
        </w:rPr>
        <w:t>，同比</w:t>
      </w:r>
      <w:r>
        <w:rPr>
          <w:rFonts w:cs="Times New Roman" w:hint="eastAsia"/>
          <w:kern w:val="2"/>
          <w:sz w:val="32"/>
          <w:szCs w:val="32"/>
        </w:rPr>
        <w:t>减少7.51</w:t>
      </w:r>
      <w:r>
        <w:rPr>
          <w:rFonts w:cs="Times New Roman"/>
          <w:kern w:val="2"/>
          <w:sz w:val="32"/>
          <w:szCs w:val="32"/>
        </w:rPr>
        <w:t>万元，</w:t>
      </w:r>
      <w:r>
        <w:rPr>
          <w:rFonts w:cs="Times New Roman" w:hint="eastAsia"/>
          <w:kern w:val="2"/>
          <w:sz w:val="32"/>
          <w:szCs w:val="32"/>
        </w:rPr>
        <w:t>下降3.21%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卫生健康支出93.05</w:t>
      </w:r>
      <w:r>
        <w:rPr>
          <w:rFonts w:cs="Times New Roman"/>
          <w:kern w:val="2"/>
          <w:sz w:val="32"/>
          <w:szCs w:val="32"/>
        </w:rPr>
        <w:t>万元，占</w:t>
      </w:r>
      <w:r>
        <w:rPr>
          <w:rFonts w:cs="Times New Roman" w:hint="eastAsia"/>
          <w:kern w:val="2"/>
          <w:sz w:val="32"/>
          <w:szCs w:val="32"/>
        </w:rPr>
        <w:t>支出</w:t>
      </w:r>
      <w:r>
        <w:rPr>
          <w:rFonts w:cs="Times New Roman"/>
          <w:kern w:val="2"/>
          <w:sz w:val="32"/>
          <w:szCs w:val="32"/>
        </w:rPr>
        <w:t>总预算</w:t>
      </w:r>
      <w:r>
        <w:rPr>
          <w:rFonts w:cs="Times New Roman" w:hint="eastAsia"/>
          <w:kern w:val="2"/>
          <w:sz w:val="32"/>
          <w:szCs w:val="32"/>
        </w:rPr>
        <w:t>4.71%</w:t>
      </w:r>
      <w:r>
        <w:rPr>
          <w:rFonts w:cs="Times New Roman"/>
          <w:kern w:val="2"/>
          <w:sz w:val="32"/>
          <w:szCs w:val="32"/>
        </w:rPr>
        <w:t>，</w:t>
      </w:r>
      <w:r>
        <w:rPr>
          <w:rFonts w:cs="Times New Roman" w:hint="eastAsia"/>
          <w:kern w:val="2"/>
          <w:sz w:val="32"/>
          <w:szCs w:val="32"/>
        </w:rPr>
        <w:t>同比减少5.09</w:t>
      </w:r>
      <w:r>
        <w:rPr>
          <w:rFonts w:cs="Times New Roman"/>
          <w:kern w:val="2"/>
          <w:sz w:val="32"/>
          <w:szCs w:val="32"/>
        </w:rPr>
        <w:t>万元，</w:t>
      </w:r>
      <w:r>
        <w:rPr>
          <w:rFonts w:cs="Times New Roman" w:hint="eastAsia"/>
          <w:kern w:val="2"/>
          <w:sz w:val="32"/>
          <w:szCs w:val="32"/>
        </w:rPr>
        <w:t>下降5.19%。</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住房保障支出84.13</w:t>
      </w:r>
      <w:r>
        <w:rPr>
          <w:rFonts w:cs="Times New Roman"/>
          <w:kern w:val="2"/>
          <w:sz w:val="32"/>
          <w:szCs w:val="32"/>
        </w:rPr>
        <w:t>万元，占</w:t>
      </w:r>
      <w:r>
        <w:rPr>
          <w:rFonts w:cs="Times New Roman" w:hint="eastAsia"/>
          <w:kern w:val="2"/>
          <w:sz w:val="32"/>
          <w:szCs w:val="32"/>
        </w:rPr>
        <w:t>支出</w:t>
      </w:r>
      <w:r>
        <w:rPr>
          <w:rFonts w:cs="Times New Roman"/>
          <w:kern w:val="2"/>
          <w:sz w:val="32"/>
          <w:szCs w:val="32"/>
        </w:rPr>
        <w:t>总预算</w:t>
      </w:r>
      <w:r>
        <w:rPr>
          <w:rFonts w:cs="Times New Roman" w:hint="eastAsia"/>
          <w:kern w:val="2"/>
          <w:sz w:val="32"/>
          <w:szCs w:val="32"/>
        </w:rPr>
        <w:t>4.25%</w:t>
      </w:r>
      <w:r>
        <w:rPr>
          <w:rFonts w:cs="Times New Roman"/>
          <w:kern w:val="2"/>
          <w:sz w:val="32"/>
          <w:szCs w:val="32"/>
        </w:rPr>
        <w:t>，</w:t>
      </w:r>
      <w:r>
        <w:rPr>
          <w:rFonts w:cs="Times New Roman" w:hint="eastAsia"/>
          <w:kern w:val="2"/>
          <w:sz w:val="32"/>
          <w:szCs w:val="32"/>
        </w:rPr>
        <w:t>同比减少6.34</w:t>
      </w:r>
      <w:r>
        <w:rPr>
          <w:rFonts w:cs="Times New Roman"/>
          <w:kern w:val="2"/>
          <w:sz w:val="32"/>
          <w:szCs w:val="32"/>
        </w:rPr>
        <w:t>万元</w:t>
      </w:r>
      <w:r>
        <w:rPr>
          <w:rFonts w:cs="Times New Roman" w:hint="eastAsia"/>
          <w:kern w:val="2"/>
          <w:sz w:val="32"/>
          <w:szCs w:val="32"/>
        </w:rPr>
        <w:t>，下降7%。</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五、一般公共预算支出情况说明</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202</w:t>
      </w:r>
      <w:r>
        <w:rPr>
          <w:rFonts w:cs="Times New Roman" w:hint="eastAsia"/>
          <w:kern w:val="2"/>
          <w:sz w:val="32"/>
          <w:szCs w:val="32"/>
        </w:rPr>
        <w:t>2</w:t>
      </w:r>
      <w:r>
        <w:rPr>
          <w:rFonts w:cs="Times New Roman"/>
          <w:kern w:val="2"/>
          <w:sz w:val="32"/>
          <w:szCs w:val="32"/>
        </w:rPr>
        <w:t>年一般公共预算拨款支出</w:t>
      </w:r>
      <w:r>
        <w:rPr>
          <w:rFonts w:cs="Times New Roman" w:hint="eastAsia"/>
          <w:kern w:val="2"/>
          <w:sz w:val="32"/>
          <w:szCs w:val="32"/>
        </w:rPr>
        <w:t>1,868.96</w:t>
      </w:r>
      <w:r>
        <w:rPr>
          <w:rFonts w:cs="Times New Roman"/>
          <w:kern w:val="2"/>
          <w:sz w:val="32"/>
          <w:szCs w:val="32"/>
        </w:rPr>
        <w:t>万元，</w:t>
      </w:r>
      <w:r>
        <w:rPr>
          <w:rFonts w:cs="Times New Roman" w:hint="eastAsia"/>
          <w:kern w:val="2"/>
          <w:sz w:val="32"/>
          <w:szCs w:val="32"/>
        </w:rPr>
        <w:t>同比</w:t>
      </w:r>
      <w:r>
        <w:rPr>
          <w:rFonts w:cs="Times New Roman"/>
          <w:kern w:val="2"/>
          <w:sz w:val="32"/>
          <w:szCs w:val="32"/>
        </w:rPr>
        <w:t>上年增加</w:t>
      </w:r>
      <w:r>
        <w:rPr>
          <w:rFonts w:cs="Times New Roman" w:hint="eastAsia"/>
          <w:kern w:val="2"/>
          <w:sz w:val="32"/>
          <w:szCs w:val="32"/>
        </w:rPr>
        <w:t>36.13万元。</w:t>
      </w:r>
      <w:r>
        <w:rPr>
          <w:rFonts w:cs="Times New Roman"/>
          <w:kern w:val="2"/>
          <w:sz w:val="32"/>
          <w:szCs w:val="32"/>
        </w:rPr>
        <w:t>增长</w:t>
      </w:r>
      <w:r>
        <w:rPr>
          <w:rFonts w:cs="Times New Roman" w:hint="eastAsia"/>
          <w:kern w:val="2"/>
          <w:sz w:val="32"/>
          <w:szCs w:val="32"/>
        </w:rPr>
        <w:t>1.97%。</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（一）按支出功能分类科目划分，共分为4</w:t>
      </w:r>
      <w:r>
        <w:rPr>
          <w:rFonts w:cs="Times New Roman"/>
          <w:kern w:val="2"/>
          <w:sz w:val="32"/>
          <w:szCs w:val="32"/>
        </w:rPr>
        <w:t xml:space="preserve"> 类，其中：</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文化旅游体育与传媒支出类科目1,465.22</w:t>
      </w:r>
      <w:r>
        <w:rPr>
          <w:rFonts w:cs="Times New Roman"/>
          <w:kern w:val="2"/>
          <w:sz w:val="32"/>
          <w:szCs w:val="32"/>
        </w:rPr>
        <w:t>万元,占</w:t>
      </w:r>
      <w:r>
        <w:rPr>
          <w:rFonts w:cs="Times New Roman" w:hint="eastAsia"/>
          <w:kern w:val="2"/>
          <w:sz w:val="32"/>
          <w:szCs w:val="32"/>
        </w:rPr>
        <w:t>支出总预算74.09%</w:t>
      </w:r>
      <w:r>
        <w:rPr>
          <w:rFonts w:cs="Times New Roman"/>
          <w:kern w:val="2"/>
          <w:sz w:val="32"/>
          <w:szCs w:val="32"/>
        </w:rPr>
        <w:t xml:space="preserve"> ，同比</w:t>
      </w:r>
      <w:r>
        <w:rPr>
          <w:rFonts w:cs="Times New Roman" w:hint="eastAsia"/>
          <w:kern w:val="2"/>
          <w:sz w:val="32"/>
          <w:szCs w:val="32"/>
        </w:rPr>
        <w:t>增加55.07</w:t>
      </w:r>
      <w:r>
        <w:rPr>
          <w:rFonts w:cs="Times New Roman"/>
          <w:kern w:val="2"/>
          <w:sz w:val="32"/>
          <w:szCs w:val="32"/>
        </w:rPr>
        <w:t>万元，</w:t>
      </w:r>
      <w:r>
        <w:rPr>
          <w:rFonts w:cs="Times New Roman" w:hint="eastAsia"/>
          <w:kern w:val="2"/>
          <w:sz w:val="32"/>
          <w:szCs w:val="32"/>
        </w:rPr>
        <w:t>增长3.91%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社会保障和就业支出类科目226.56</w:t>
      </w:r>
      <w:r>
        <w:rPr>
          <w:rFonts w:cs="Times New Roman"/>
          <w:kern w:val="2"/>
          <w:sz w:val="32"/>
          <w:szCs w:val="32"/>
        </w:rPr>
        <w:t>万元，占支出总预算</w:t>
      </w:r>
      <w:r>
        <w:rPr>
          <w:rFonts w:cs="Times New Roman" w:hint="eastAsia"/>
          <w:kern w:val="2"/>
          <w:sz w:val="32"/>
          <w:szCs w:val="32"/>
        </w:rPr>
        <w:t>11.46%</w:t>
      </w:r>
      <w:r>
        <w:rPr>
          <w:rFonts w:cs="Times New Roman"/>
          <w:kern w:val="2"/>
          <w:sz w:val="32"/>
          <w:szCs w:val="32"/>
        </w:rPr>
        <w:t>，同比</w:t>
      </w:r>
      <w:r>
        <w:rPr>
          <w:rFonts w:cs="Times New Roman" w:hint="eastAsia"/>
          <w:kern w:val="2"/>
          <w:sz w:val="32"/>
          <w:szCs w:val="32"/>
        </w:rPr>
        <w:t>减少7.51</w:t>
      </w:r>
      <w:r>
        <w:rPr>
          <w:rFonts w:cs="Times New Roman"/>
          <w:kern w:val="2"/>
          <w:sz w:val="32"/>
          <w:szCs w:val="32"/>
        </w:rPr>
        <w:t>万元，</w:t>
      </w:r>
      <w:r>
        <w:rPr>
          <w:rFonts w:cs="Times New Roman" w:hint="eastAsia"/>
          <w:kern w:val="2"/>
          <w:sz w:val="32"/>
          <w:szCs w:val="32"/>
        </w:rPr>
        <w:t>下降3.21%</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卫生健康支出类科目93.05</w:t>
      </w:r>
      <w:r>
        <w:rPr>
          <w:rFonts w:cs="Times New Roman"/>
          <w:kern w:val="2"/>
          <w:sz w:val="32"/>
          <w:szCs w:val="32"/>
        </w:rPr>
        <w:t>万元，占支出总预算</w:t>
      </w:r>
      <w:r>
        <w:rPr>
          <w:rFonts w:cs="Times New Roman" w:hint="eastAsia"/>
          <w:kern w:val="2"/>
          <w:sz w:val="32"/>
          <w:szCs w:val="32"/>
        </w:rPr>
        <w:t>4.91%</w:t>
      </w:r>
      <w:r>
        <w:rPr>
          <w:rFonts w:cs="Times New Roman"/>
          <w:kern w:val="2"/>
          <w:sz w:val="32"/>
          <w:szCs w:val="32"/>
        </w:rPr>
        <w:t>，同比</w:t>
      </w:r>
      <w:r>
        <w:rPr>
          <w:rFonts w:cs="Times New Roman" w:hint="eastAsia"/>
          <w:kern w:val="2"/>
          <w:sz w:val="32"/>
          <w:szCs w:val="32"/>
        </w:rPr>
        <w:t>减少5.09</w:t>
      </w:r>
      <w:r>
        <w:rPr>
          <w:rFonts w:cs="Times New Roman"/>
          <w:kern w:val="2"/>
          <w:sz w:val="32"/>
          <w:szCs w:val="32"/>
        </w:rPr>
        <w:t>万元，</w:t>
      </w:r>
      <w:r>
        <w:rPr>
          <w:rFonts w:cs="Times New Roman" w:hint="eastAsia"/>
          <w:kern w:val="2"/>
          <w:sz w:val="32"/>
          <w:szCs w:val="32"/>
        </w:rPr>
        <w:t>下降5.19%。</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住房保障支出84.13</w:t>
      </w:r>
      <w:r>
        <w:rPr>
          <w:rFonts w:cs="Times New Roman"/>
          <w:kern w:val="2"/>
          <w:sz w:val="32"/>
          <w:szCs w:val="32"/>
        </w:rPr>
        <w:t>万元，占支出总预算</w:t>
      </w:r>
      <w:r>
        <w:rPr>
          <w:rFonts w:cs="Times New Roman" w:hint="eastAsia"/>
          <w:kern w:val="2"/>
          <w:sz w:val="32"/>
          <w:szCs w:val="32"/>
        </w:rPr>
        <w:t>4.25%</w:t>
      </w:r>
      <w:r>
        <w:rPr>
          <w:rFonts w:cs="Times New Roman"/>
          <w:kern w:val="2"/>
          <w:sz w:val="32"/>
          <w:szCs w:val="32"/>
        </w:rPr>
        <w:t>，</w:t>
      </w:r>
      <w:r>
        <w:rPr>
          <w:rFonts w:cs="Times New Roman" w:hint="eastAsia"/>
          <w:kern w:val="2"/>
          <w:sz w:val="32"/>
          <w:szCs w:val="32"/>
        </w:rPr>
        <w:t>同比减少6.34</w:t>
      </w:r>
      <w:r>
        <w:rPr>
          <w:rFonts w:cs="Times New Roman"/>
          <w:kern w:val="2"/>
          <w:sz w:val="32"/>
          <w:szCs w:val="32"/>
        </w:rPr>
        <w:t>万元</w:t>
      </w:r>
      <w:r>
        <w:rPr>
          <w:rFonts w:cs="Times New Roman" w:hint="eastAsia"/>
          <w:kern w:val="2"/>
          <w:sz w:val="32"/>
          <w:szCs w:val="32"/>
        </w:rPr>
        <w:t>，下降7%。</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（二）按支出结构分类划分，分为基本支出预算和项目支出预算。</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1.基本支出预算</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基本支出预算1,278.02</w:t>
      </w:r>
      <w:r>
        <w:rPr>
          <w:rFonts w:cs="Times New Roman"/>
          <w:kern w:val="2"/>
          <w:sz w:val="32"/>
          <w:szCs w:val="32"/>
        </w:rPr>
        <w:t>万元，占支</w:t>
      </w:r>
      <w:r>
        <w:rPr>
          <w:rFonts w:cs="Times New Roman" w:hint="eastAsia"/>
          <w:kern w:val="2"/>
          <w:sz w:val="32"/>
          <w:szCs w:val="32"/>
        </w:rPr>
        <w:t>出总预算64.62%</w:t>
      </w:r>
      <w:r>
        <w:rPr>
          <w:rFonts w:cs="Times New Roman"/>
          <w:kern w:val="2"/>
          <w:sz w:val="32"/>
          <w:szCs w:val="32"/>
        </w:rPr>
        <w:t>，同</w:t>
      </w:r>
      <w:r>
        <w:rPr>
          <w:rFonts w:cs="Times New Roman"/>
          <w:kern w:val="2"/>
          <w:sz w:val="32"/>
          <w:szCs w:val="32"/>
        </w:rPr>
        <w:lastRenderedPageBreak/>
        <w:t>比</w:t>
      </w:r>
      <w:r>
        <w:rPr>
          <w:rFonts w:cs="Times New Roman" w:hint="eastAsia"/>
          <w:kern w:val="2"/>
          <w:sz w:val="32"/>
          <w:szCs w:val="32"/>
        </w:rPr>
        <w:t>减少76.40</w:t>
      </w:r>
      <w:r>
        <w:rPr>
          <w:rFonts w:cs="Times New Roman"/>
          <w:kern w:val="2"/>
          <w:sz w:val="32"/>
          <w:szCs w:val="32"/>
        </w:rPr>
        <w:t>万元，</w:t>
      </w:r>
      <w:r>
        <w:rPr>
          <w:rFonts w:cs="Times New Roman" w:hint="eastAsia"/>
          <w:kern w:val="2"/>
          <w:sz w:val="32"/>
          <w:szCs w:val="32"/>
        </w:rPr>
        <w:t>下降5.64%</w:t>
      </w:r>
      <w:r>
        <w:rPr>
          <w:rFonts w:cs="Times New Roman"/>
          <w:kern w:val="2"/>
          <w:sz w:val="32"/>
          <w:szCs w:val="32"/>
        </w:rPr>
        <w:t>。其中</w:t>
      </w:r>
      <w:r>
        <w:rPr>
          <w:rFonts w:cs="Times New Roman" w:hint="eastAsia"/>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工资福利支出1,056.63</w:t>
      </w:r>
      <w:r>
        <w:rPr>
          <w:rFonts w:cs="Times New Roman"/>
          <w:kern w:val="2"/>
          <w:sz w:val="32"/>
          <w:szCs w:val="32"/>
        </w:rPr>
        <w:t>万元，占支出总预算</w:t>
      </w:r>
      <w:r>
        <w:rPr>
          <w:rFonts w:cs="Times New Roman" w:hint="eastAsia"/>
          <w:kern w:val="2"/>
          <w:sz w:val="32"/>
          <w:szCs w:val="32"/>
        </w:rPr>
        <w:t>53.43%，同比减少78.00</w:t>
      </w:r>
      <w:r>
        <w:rPr>
          <w:rFonts w:cs="Times New Roman"/>
          <w:kern w:val="2"/>
          <w:sz w:val="32"/>
          <w:szCs w:val="32"/>
        </w:rPr>
        <w:t>万元，</w:t>
      </w:r>
      <w:r>
        <w:rPr>
          <w:rFonts w:cs="Times New Roman" w:hint="eastAsia"/>
          <w:kern w:val="2"/>
          <w:sz w:val="32"/>
          <w:szCs w:val="32"/>
        </w:rPr>
        <w:t>下降6.87%</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商品和服务支出118.81</w:t>
      </w:r>
      <w:r>
        <w:rPr>
          <w:rFonts w:cs="Times New Roman"/>
          <w:kern w:val="2"/>
          <w:sz w:val="32"/>
          <w:szCs w:val="32"/>
        </w:rPr>
        <w:t>万元，占支出总预算的</w:t>
      </w:r>
      <w:r>
        <w:rPr>
          <w:rFonts w:cs="Times New Roman" w:hint="eastAsia"/>
          <w:kern w:val="2"/>
          <w:sz w:val="32"/>
          <w:szCs w:val="32"/>
        </w:rPr>
        <w:t>6.00%</w:t>
      </w:r>
      <w:r>
        <w:rPr>
          <w:rFonts w:cs="Times New Roman"/>
          <w:kern w:val="2"/>
          <w:sz w:val="32"/>
          <w:szCs w:val="32"/>
        </w:rPr>
        <w:t>，</w:t>
      </w:r>
      <w:r>
        <w:rPr>
          <w:rFonts w:cs="Times New Roman" w:hint="eastAsia"/>
          <w:kern w:val="2"/>
          <w:sz w:val="32"/>
          <w:szCs w:val="32"/>
        </w:rPr>
        <w:t>同比减少1.71</w:t>
      </w:r>
      <w:r>
        <w:rPr>
          <w:rFonts w:cs="Times New Roman"/>
          <w:kern w:val="2"/>
          <w:sz w:val="32"/>
          <w:szCs w:val="32"/>
        </w:rPr>
        <w:t>万元，</w:t>
      </w:r>
      <w:r>
        <w:rPr>
          <w:rFonts w:cs="Times New Roman" w:hint="eastAsia"/>
          <w:kern w:val="2"/>
          <w:sz w:val="32"/>
          <w:szCs w:val="32"/>
        </w:rPr>
        <w:t>下降1.42%</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个人和家庭补助支出102.58</w:t>
      </w:r>
      <w:r>
        <w:rPr>
          <w:rFonts w:cs="Times New Roman"/>
          <w:kern w:val="2"/>
          <w:sz w:val="32"/>
          <w:szCs w:val="32"/>
        </w:rPr>
        <w:t>万元，占支出总预算</w:t>
      </w:r>
      <w:r>
        <w:rPr>
          <w:rFonts w:cs="Times New Roman" w:hint="eastAsia"/>
          <w:kern w:val="2"/>
          <w:sz w:val="32"/>
          <w:szCs w:val="32"/>
        </w:rPr>
        <w:t>5.19%</w:t>
      </w:r>
      <w:r>
        <w:rPr>
          <w:rFonts w:cs="Times New Roman"/>
          <w:kern w:val="2"/>
          <w:sz w:val="32"/>
          <w:szCs w:val="32"/>
        </w:rPr>
        <w:t>，同比增加</w:t>
      </w:r>
      <w:r>
        <w:rPr>
          <w:rFonts w:cs="Times New Roman" w:hint="eastAsia"/>
          <w:kern w:val="2"/>
          <w:sz w:val="32"/>
          <w:szCs w:val="32"/>
        </w:rPr>
        <w:t>3.30</w:t>
      </w:r>
      <w:r>
        <w:rPr>
          <w:rFonts w:cs="Times New Roman"/>
          <w:kern w:val="2"/>
          <w:sz w:val="32"/>
          <w:szCs w:val="32"/>
        </w:rPr>
        <w:t>万元，增长</w:t>
      </w:r>
      <w:r>
        <w:rPr>
          <w:rFonts w:cs="Times New Roman" w:hint="eastAsia"/>
          <w:kern w:val="2"/>
          <w:sz w:val="32"/>
          <w:szCs w:val="32"/>
        </w:rPr>
        <w:t>3.32%</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2.项目支出预算</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项目支出预算590.94</w:t>
      </w:r>
      <w:r>
        <w:rPr>
          <w:rFonts w:cs="Times New Roman"/>
          <w:kern w:val="2"/>
          <w:sz w:val="32"/>
          <w:szCs w:val="32"/>
        </w:rPr>
        <w:t>万元，占支</w:t>
      </w:r>
      <w:r>
        <w:rPr>
          <w:rFonts w:cs="Times New Roman" w:hint="eastAsia"/>
          <w:kern w:val="2"/>
          <w:sz w:val="32"/>
          <w:szCs w:val="32"/>
        </w:rPr>
        <w:t>出总预算29.88%</w:t>
      </w:r>
      <w:r>
        <w:rPr>
          <w:rFonts w:cs="Times New Roman"/>
          <w:kern w:val="2"/>
          <w:sz w:val="32"/>
          <w:szCs w:val="32"/>
        </w:rPr>
        <w:t xml:space="preserve"> ，同比</w:t>
      </w:r>
      <w:r>
        <w:rPr>
          <w:rFonts w:cs="Times New Roman" w:hint="eastAsia"/>
          <w:kern w:val="2"/>
          <w:sz w:val="32"/>
          <w:szCs w:val="32"/>
        </w:rPr>
        <w:t>增加112.53</w:t>
      </w:r>
      <w:r>
        <w:rPr>
          <w:rFonts w:cs="Times New Roman"/>
          <w:kern w:val="2"/>
          <w:sz w:val="32"/>
          <w:szCs w:val="32"/>
        </w:rPr>
        <w:t>万元，</w:t>
      </w:r>
      <w:r>
        <w:rPr>
          <w:rFonts w:cs="Times New Roman" w:hint="eastAsia"/>
          <w:kern w:val="2"/>
          <w:sz w:val="32"/>
          <w:szCs w:val="32"/>
        </w:rPr>
        <w:t>增长23.52%</w:t>
      </w:r>
      <w:r>
        <w:rPr>
          <w:rFonts w:cs="Times New Roman"/>
          <w:kern w:val="2"/>
          <w:sz w:val="32"/>
          <w:szCs w:val="32"/>
        </w:rPr>
        <w:t>。</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六、一般公共预算基本支出情况说明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一般公共预算拨款基本支出预算1,278.02</w:t>
      </w:r>
      <w:r>
        <w:rPr>
          <w:rFonts w:cs="Times New Roman"/>
          <w:kern w:val="2"/>
          <w:sz w:val="32"/>
          <w:szCs w:val="32"/>
        </w:rPr>
        <w:t>万元，占支</w:t>
      </w:r>
      <w:r>
        <w:rPr>
          <w:rFonts w:cs="Times New Roman" w:hint="eastAsia"/>
          <w:kern w:val="2"/>
          <w:sz w:val="32"/>
          <w:szCs w:val="32"/>
        </w:rPr>
        <w:t>出总预算64.62%</w:t>
      </w:r>
      <w:r>
        <w:rPr>
          <w:rFonts w:cs="Times New Roman"/>
          <w:kern w:val="2"/>
          <w:sz w:val="32"/>
          <w:szCs w:val="32"/>
        </w:rPr>
        <w:t>，同比</w:t>
      </w:r>
      <w:r>
        <w:rPr>
          <w:rFonts w:cs="Times New Roman" w:hint="eastAsia"/>
          <w:kern w:val="2"/>
          <w:sz w:val="32"/>
          <w:szCs w:val="32"/>
        </w:rPr>
        <w:t>减少76.40</w:t>
      </w:r>
      <w:r>
        <w:rPr>
          <w:rFonts w:cs="Times New Roman"/>
          <w:kern w:val="2"/>
          <w:sz w:val="32"/>
          <w:szCs w:val="32"/>
        </w:rPr>
        <w:t>万元，</w:t>
      </w:r>
      <w:r>
        <w:rPr>
          <w:rFonts w:cs="Times New Roman" w:hint="eastAsia"/>
          <w:kern w:val="2"/>
          <w:sz w:val="32"/>
          <w:szCs w:val="32"/>
        </w:rPr>
        <w:t>下降5.64%</w:t>
      </w:r>
      <w:r>
        <w:rPr>
          <w:rFonts w:cs="Times New Roman"/>
          <w:kern w:val="2"/>
          <w:sz w:val="32"/>
          <w:szCs w:val="32"/>
        </w:rPr>
        <w:t>。其中：</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（一）人员经费支出1,159.21</w:t>
      </w:r>
      <w:r>
        <w:rPr>
          <w:rFonts w:cs="Times New Roman"/>
          <w:kern w:val="2"/>
          <w:sz w:val="32"/>
          <w:szCs w:val="32"/>
        </w:rPr>
        <w:t>万元，其中：</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1.</w:t>
      </w:r>
      <w:r>
        <w:rPr>
          <w:rFonts w:cs="Times New Roman" w:hint="eastAsia"/>
          <w:kern w:val="2"/>
          <w:sz w:val="32"/>
          <w:szCs w:val="32"/>
        </w:rPr>
        <w:t>工资福利支出1,056.63</w:t>
      </w:r>
      <w:r>
        <w:rPr>
          <w:rFonts w:cs="Times New Roman"/>
          <w:kern w:val="2"/>
          <w:sz w:val="32"/>
          <w:szCs w:val="32"/>
        </w:rPr>
        <w:t>万元，占支出总预算</w:t>
      </w:r>
      <w:r>
        <w:rPr>
          <w:rFonts w:cs="Times New Roman" w:hint="eastAsia"/>
          <w:kern w:val="2"/>
          <w:sz w:val="32"/>
          <w:szCs w:val="32"/>
        </w:rPr>
        <w:t>53.43%，同比减少78.00</w:t>
      </w:r>
      <w:r>
        <w:rPr>
          <w:rFonts w:cs="Times New Roman"/>
          <w:kern w:val="2"/>
          <w:sz w:val="32"/>
          <w:szCs w:val="32"/>
        </w:rPr>
        <w:t>万元，</w:t>
      </w:r>
      <w:r>
        <w:rPr>
          <w:rFonts w:cs="Times New Roman" w:hint="eastAsia"/>
          <w:kern w:val="2"/>
          <w:sz w:val="32"/>
          <w:szCs w:val="32"/>
        </w:rPr>
        <w:t>下降6.32%。</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2.个人和家庭补助支出102.58</w:t>
      </w:r>
      <w:r>
        <w:rPr>
          <w:rFonts w:cs="Times New Roman"/>
          <w:kern w:val="2"/>
          <w:sz w:val="32"/>
          <w:szCs w:val="32"/>
        </w:rPr>
        <w:t>万元，占支出总预算</w:t>
      </w:r>
      <w:r>
        <w:rPr>
          <w:rFonts w:cs="Times New Roman" w:hint="eastAsia"/>
          <w:kern w:val="2"/>
          <w:sz w:val="32"/>
          <w:szCs w:val="32"/>
        </w:rPr>
        <w:t>5.19%</w:t>
      </w:r>
      <w:r>
        <w:rPr>
          <w:rFonts w:cs="Times New Roman"/>
          <w:kern w:val="2"/>
          <w:sz w:val="32"/>
          <w:szCs w:val="32"/>
        </w:rPr>
        <w:t>，同比增加</w:t>
      </w:r>
      <w:r>
        <w:rPr>
          <w:rFonts w:cs="Times New Roman" w:hint="eastAsia"/>
          <w:kern w:val="2"/>
          <w:sz w:val="32"/>
          <w:szCs w:val="32"/>
        </w:rPr>
        <w:t>3.30</w:t>
      </w:r>
      <w:r>
        <w:rPr>
          <w:rFonts w:cs="Times New Roman"/>
          <w:kern w:val="2"/>
          <w:sz w:val="32"/>
          <w:szCs w:val="32"/>
        </w:rPr>
        <w:t>万元，增长</w:t>
      </w:r>
      <w:r>
        <w:rPr>
          <w:rFonts w:cs="Times New Roman" w:hint="eastAsia"/>
          <w:kern w:val="2"/>
          <w:sz w:val="32"/>
          <w:szCs w:val="32"/>
        </w:rPr>
        <w:t>3.32%。</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（二）公用经费支出118.81</w:t>
      </w:r>
      <w:r>
        <w:rPr>
          <w:rFonts w:cs="Times New Roman"/>
          <w:kern w:val="2"/>
          <w:sz w:val="32"/>
          <w:szCs w:val="32"/>
        </w:rPr>
        <w:t>万元，</w:t>
      </w:r>
      <w:r>
        <w:rPr>
          <w:rFonts w:cs="Times New Roman" w:hint="eastAsia"/>
          <w:kern w:val="2"/>
          <w:sz w:val="32"/>
          <w:szCs w:val="32"/>
        </w:rPr>
        <w:t>均为商品和服务支出</w:t>
      </w:r>
      <w:r>
        <w:rPr>
          <w:rFonts w:cs="Times New Roman"/>
          <w:kern w:val="2"/>
          <w:sz w:val="32"/>
          <w:szCs w:val="32"/>
        </w:rPr>
        <w:t>，占支出总预算</w:t>
      </w:r>
      <w:r>
        <w:rPr>
          <w:rFonts w:cs="Times New Roman" w:hint="eastAsia"/>
          <w:kern w:val="2"/>
          <w:sz w:val="32"/>
          <w:szCs w:val="32"/>
        </w:rPr>
        <w:t>6.00%</w:t>
      </w:r>
      <w:r>
        <w:rPr>
          <w:rFonts w:cs="Times New Roman"/>
          <w:kern w:val="2"/>
          <w:sz w:val="32"/>
          <w:szCs w:val="32"/>
        </w:rPr>
        <w:t>，</w:t>
      </w:r>
      <w:r>
        <w:rPr>
          <w:rFonts w:cs="Times New Roman" w:hint="eastAsia"/>
          <w:kern w:val="2"/>
          <w:sz w:val="32"/>
          <w:szCs w:val="32"/>
        </w:rPr>
        <w:t>同比减少1.71</w:t>
      </w:r>
      <w:r>
        <w:rPr>
          <w:rFonts w:cs="Times New Roman"/>
          <w:kern w:val="2"/>
          <w:sz w:val="32"/>
          <w:szCs w:val="32"/>
        </w:rPr>
        <w:t>万元，</w:t>
      </w:r>
      <w:r>
        <w:rPr>
          <w:rFonts w:cs="Times New Roman" w:hint="eastAsia"/>
          <w:kern w:val="2"/>
          <w:sz w:val="32"/>
          <w:szCs w:val="32"/>
        </w:rPr>
        <w:t>下降1.42%</w:t>
      </w:r>
      <w:r>
        <w:rPr>
          <w:rFonts w:cs="Times New Roman"/>
          <w:kern w:val="2"/>
          <w:sz w:val="32"/>
          <w:szCs w:val="32"/>
        </w:rPr>
        <w:t>。</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七、一般公共预算“三公”经费</w:t>
      </w:r>
      <w:r w:rsidR="00B5613A">
        <w:rPr>
          <w:rFonts w:ascii="黑体" w:eastAsia="黑体" w:hAnsi="Times New Roman" w:cs="Times New Roman" w:hint="eastAsia"/>
          <w:kern w:val="2"/>
          <w:sz w:val="32"/>
          <w:szCs w:val="32"/>
        </w:rPr>
        <w:t>支出</w:t>
      </w:r>
      <w:r>
        <w:rPr>
          <w:rFonts w:ascii="黑体" w:eastAsia="黑体" w:hAnsi="Times New Roman" w:cs="Times New Roman" w:hint="eastAsia"/>
          <w:kern w:val="2"/>
          <w:sz w:val="32"/>
          <w:szCs w:val="32"/>
        </w:rPr>
        <w:t>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我单位2</w:t>
      </w:r>
      <w:r>
        <w:rPr>
          <w:rFonts w:cs="Times New Roman"/>
          <w:kern w:val="2"/>
          <w:sz w:val="32"/>
          <w:szCs w:val="32"/>
        </w:rPr>
        <w:t>02</w:t>
      </w:r>
      <w:r>
        <w:rPr>
          <w:rFonts w:cs="Times New Roman" w:hint="eastAsia"/>
          <w:kern w:val="2"/>
          <w:sz w:val="32"/>
          <w:szCs w:val="32"/>
        </w:rPr>
        <w:t>3</w:t>
      </w:r>
      <w:r>
        <w:rPr>
          <w:rFonts w:cs="Times New Roman"/>
          <w:kern w:val="2"/>
          <w:sz w:val="32"/>
          <w:szCs w:val="32"/>
        </w:rPr>
        <w:t>年一般公共预算安排的</w:t>
      </w:r>
      <w:r>
        <w:rPr>
          <w:rFonts w:cs="Times New Roman"/>
          <w:kern w:val="2"/>
          <w:sz w:val="32"/>
          <w:szCs w:val="32"/>
        </w:rPr>
        <w:t>“</w:t>
      </w:r>
      <w:r>
        <w:rPr>
          <w:rFonts w:cs="Times New Roman"/>
          <w:kern w:val="2"/>
          <w:sz w:val="32"/>
          <w:szCs w:val="32"/>
        </w:rPr>
        <w:t>三公</w:t>
      </w:r>
      <w:r>
        <w:rPr>
          <w:rFonts w:cs="Times New Roman"/>
          <w:kern w:val="2"/>
          <w:sz w:val="32"/>
          <w:szCs w:val="32"/>
        </w:rPr>
        <w:t>”</w:t>
      </w:r>
      <w:r>
        <w:rPr>
          <w:rFonts w:cs="Times New Roman"/>
          <w:kern w:val="2"/>
          <w:sz w:val="32"/>
          <w:szCs w:val="32"/>
        </w:rPr>
        <w:t>经费支出</w:t>
      </w:r>
      <w:r>
        <w:rPr>
          <w:rFonts w:cs="Times New Roman"/>
          <w:kern w:val="2"/>
          <w:sz w:val="32"/>
          <w:szCs w:val="32"/>
        </w:rPr>
        <w:lastRenderedPageBreak/>
        <w:t>预算</w:t>
      </w:r>
      <w:r>
        <w:rPr>
          <w:rFonts w:cs="Times New Roman" w:hint="eastAsia"/>
          <w:kern w:val="2"/>
          <w:sz w:val="32"/>
          <w:szCs w:val="32"/>
        </w:rPr>
        <w:t>19.71</w:t>
      </w:r>
      <w:r>
        <w:rPr>
          <w:rFonts w:cs="Times New Roman"/>
          <w:kern w:val="2"/>
          <w:sz w:val="32"/>
          <w:szCs w:val="32"/>
        </w:rPr>
        <w:t>万元，</w:t>
      </w:r>
      <w:r>
        <w:rPr>
          <w:rFonts w:cs="Times New Roman" w:hint="eastAsia"/>
          <w:kern w:val="2"/>
          <w:sz w:val="32"/>
          <w:szCs w:val="32"/>
        </w:rPr>
        <w:t>与</w:t>
      </w:r>
      <w:r>
        <w:rPr>
          <w:rFonts w:cs="Times New Roman"/>
          <w:kern w:val="2"/>
          <w:sz w:val="32"/>
          <w:szCs w:val="32"/>
        </w:rPr>
        <w:t>20</w:t>
      </w:r>
      <w:r>
        <w:rPr>
          <w:rFonts w:cs="Times New Roman" w:hint="eastAsia"/>
          <w:kern w:val="2"/>
          <w:sz w:val="32"/>
          <w:szCs w:val="32"/>
        </w:rPr>
        <w:t>22</w:t>
      </w:r>
      <w:r>
        <w:rPr>
          <w:rFonts w:cs="Times New Roman"/>
          <w:kern w:val="2"/>
          <w:sz w:val="32"/>
          <w:szCs w:val="32"/>
        </w:rPr>
        <w:t>年初预算</w:t>
      </w:r>
      <w:r>
        <w:rPr>
          <w:rFonts w:cs="Times New Roman" w:hint="eastAsia"/>
          <w:kern w:val="2"/>
          <w:sz w:val="32"/>
          <w:szCs w:val="32"/>
        </w:rPr>
        <w:t>19.71</w:t>
      </w:r>
      <w:r>
        <w:rPr>
          <w:rFonts w:cs="Times New Roman"/>
          <w:kern w:val="2"/>
          <w:sz w:val="32"/>
          <w:szCs w:val="32"/>
        </w:rPr>
        <w:t>万元</w:t>
      </w:r>
      <w:r>
        <w:rPr>
          <w:rFonts w:cs="Times New Roman" w:hint="eastAsia"/>
          <w:kern w:val="2"/>
          <w:sz w:val="32"/>
          <w:szCs w:val="32"/>
        </w:rPr>
        <w:t>，同比无变化，具体如下：</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1.因公出国（境）费用2023年无一般公共预算安排的预算，对比上年无增减。</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2.公务接待费</w:t>
      </w:r>
      <w:r>
        <w:rPr>
          <w:rFonts w:cs="Times New Roman"/>
          <w:kern w:val="2"/>
          <w:sz w:val="32"/>
          <w:szCs w:val="32"/>
        </w:rPr>
        <w:t>202</w:t>
      </w:r>
      <w:r>
        <w:rPr>
          <w:rFonts w:cs="Times New Roman" w:hint="eastAsia"/>
          <w:kern w:val="2"/>
          <w:sz w:val="32"/>
          <w:szCs w:val="32"/>
        </w:rPr>
        <w:t>3</w:t>
      </w:r>
      <w:r>
        <w:rPr>
          <w:rFonts w:cs="Times New Roman"/>
          <w:kern w:val="2"/>
          <w:sz w:val="32"/>
          <w:szCs w:val="32"/>
        </w:rPr>
        <w:t>年预算</w:t>
      </w:r>
      <w:r>
        <w:rPr>
          <w:rFonts w:cs="Times New Roman" w:hint="eastAsia"/>
          <w:kern w:val="2"/>
          <w:sz w:val="32"/>
          <w:szCs w:val="32"/>
        </w:rPr>
        <w:t>0.69</w:t>
      </w:r>
      <w:r>
        <w:rPr>
          <w:rFonts w:cs="Times New Roman"/>
          <w:kern w:val="2"/>
          <w:sz w:val="32"/>
          <w:szCs w:val="32"/>
        </w:rPr>
        <w:t>万元，</w:t>
      </w:r>
      <w:r>
        <w:rPr>
          <w:rFonts w:cs="Times New Roman" w:hint="eastAsia"/>
          <w:kern w:val="2"/>
          <w:sz w:val="32"/>
          <w:szCs w:val="32"/>
        </w:rPr>
        <w:t>对比上年无增减</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3.公务用车购置及运行费2023年预算安排19.02万元，与上年持平，其中：</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公务用车购置费2023年预算安排0万元，同比上年无增减。</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公务用车运行维护费</w:t>
      </w:r>
      <w:r>
        <w:rPr>
          <w:rFonts w:cs="Times New Roman"/>
          <w:kern w:val="2"/>
          <w:sz w:val="32"/>
          <w:szCs w:val="32"/>
        </w:rPr>
        <w:t>202</w:t>
      </w:r>
      <w:r>
        <w:rPr>
          <w:rFonts w:cs="Times New Roman" w:hint="eastAsia"/>
          <w:kern w:val="2"/>
          <w:sz w:val="32"/>
          <w:szCs w:val="32"/>
        </w:rPr>
        <w:t>3</w:t>
      </w:r>
      <w:r>
        <w:rPr>
          <w:rFonts w:cs="Times New Roman"/>
          <w:kern w:val="2"/>
          <w:sz w:val="32"/>
          <w:szCs w:val="32"/>
        </w:rPr>
        <w:t>年预算</w:t>
      </w:r>
      <w:r>
        <w:rPr>
          <w:rFonts w:cs="Times New Roman" w:hint="eastAsia"/>
          <w:kern w:val="2"/>
          <w:sz w:val="32"/>
          <w:szCs w:val="32"/>
        </w:rPr>
        <w:t>19.02</w:t>
      </w:r>
      <w:r>
        <w:rPr>
          <w:rFonts w:cs="Times New Roman"/>
          <w:kern w:val="2"/>
          <w:sz w:val="32"/>
          <w:szCs w:val="32"/>
        </w:rPr>
        <w:t>万元，</w:t>
      </w:r>
      <w:r>
        <w:rPr>
          <w:rFonts w:cs="Times New Roman" w:hint="eastAsia"/>
          <w:kern w:val="2"/>
          <w:sz w:val="32"/>
          <w:szCs w:val="32"/>
        </w:rPr>
        <w:t>与上年持平</w:t>
      </w:r>
      <w:r>
        <w:rPr>
          <w:rFonts w:cs="Times New Roman"/>
          <w:kern w:val="2"/>
          <w:sz w:val="32"/>
          <w:szCs w:val="32"/>
        </w:rPr>
        <w:t>。</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八、政府性基金预算支出情况说明</w:t>
      </w:r>
    </w:p>
    <w:p w:rsidR="001350DD" w:rsidRDefault="00284F0E">
      <w:pPr>
        <w:spacing w:line="348" w:lineRule="auto"/>
        <w:ind w:firstLineChars="200" w:firstLine="640"/>
        <w:rPr>
          <w:rFonts w:ascii="黑体" w:eastAsia="黑体" w:hAnsi="Times New Roman" w:cs="Times New Roman"/>
          <w:kern w:val="2"/>
          <w:sz w:val="32"/>
          <w:szCs w:val="32"/>
        </w:rPr>
      </w:pPr>
      <w:r>
        <w:rPr>
          <w:rFonts w:cs="Times New Roman" w:hint="eastAsia"/>
          <w:kern w:val="2"/>
          <w:sz w:val="32"/>
          <w:szCs w:val="32"/>
        </w:rPr>
        <w:t>我单位</w:t>
      </w:r>
      <w:r>
        <w:rPr>
          <w:rFonts w:cs="Times New Roman"/>
          <w:kern w:val="2"/>
          <w:sz w:val="32"/>
          <w:szCs w:val="32"/>
        </w:rPr>
        <w:t>202</w:t>
      </w:r>
      <w:r>
        <w:rPr>
          <w:rFonts w:cs="Times New Roman" w:hint="eastAsia"/>
          <w:kern w:val="2"/>
          <w:sz w:val="32"/>
          <w:szCs w:val="32"/>
        </w:rPr>
        <w:t>3</w:t>
      </w:r>
      <w:r>
        <w:rPr>
          <w:rFonts w:cs="Times New Roman"/>
          <w:kern w:val="2"/>
          <w:sz w:val="32"/>
          <w:szCs w:val="32"/>
        </w:rPr>
        <w:t>年预算无政府性基金预算</w:t>
      </w:r>
      <w:r>
        <w:rPr>
          <w:rFonts w:ascii="黑体" w:eastAsia="黑体" w:hAnsi="Times New Roman" w:cs="Times New Roman"/>
          <w:kern w:val="2"/>
          <w:sz w:val="32"/>
          <w:szCs w:val="32"/>
        </w:rPr>
        <w:t>。</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九、国有资本经营预算支出情况说明</w:t>
      </w:r>
    </w:p>
    <w:p w:rsidR="001350DD" w:rsidRDefault="00284F0E">
      <w:pPr>
        <w:spacing w:line="348" w:lineRule="auto"/>
        <w:ind w:firstLineChars="200" w:firstLine="640"/>
        <w:rPr>
          <w:rFonts w:ascii="黑体" w:eastAsia="黑体" w:hAnsi="Times New Roman" w:cs="Times New Roman"/>
          <w:kern w:val="2"/>
          <w:sz w:val="32"/>
          <w:szCs w:val="32"/>
        </w:rPr>
      </w:pPr>
      <w:r>
        <w:rPr>
          <w:rFonts w:cs="Times New Roman" w:hint="eastAsia"/>
          <w:kern w:val="2"/>
          <w:sz w:val="32"/>
          <w:szCs w:val="32"/>
        </w:rPr>
        <w:t>我单位</w:t>
      </w:r>
      <w:r>
        <w:rPr>
          <w:rFonts w:cs="Times New Roman"/>
          <w:kern w:val="2"/>
          <w:sz w:val="32"/>
          <w:szCs w:val="32"/>
        </w:rPr>
        <w:t>202</w:t>
      </w:r>
      <w:r>
        <w:rPr>
          <w:rFonts w:cs="Times New Roman" w:hint="eastAsia"/>
          <w:kern w:val="2"/>
          <w:sz w:val="32"/>
          <w:szCs w:val="32"/>
        </w:rPr>
        <w:t>3</w:t>
      </w:r>
      <w:r>
        <w:rPr>
          <w:rFonts w:cs="Times New Roman"/>
          <w:kern w:val="2"/>
          <w:sz w:val="32"/>
          <w:szCs w:val="32"/>
        </w:rPr>
        <w:t>年预算无</w:t>
      </w:r>
      <w:r>
        <w:rPr>
          <w:rFonts w:cs="Times New Roman" w:hint="eastAsia"/>
          <w:kern w:val="2"/>
          <w:sz w:val="32"/>
          <w:szCs w:val="32"/>
        </w:rPr>
        <w:t>国有资本经营预算</w:t>
      </w:r>
      <w:r>
        <w:rPr>
          <w:rFonts w:ascii="黑体" w:eastAsia="黑体" w:hAnsi="Times New Roman" w:cs="Times New Roman"/>
          <w:kern w:val="2"/>
          <w:sz w:val="32"/>
          <w:szCs w:val="32"/>
        </w:rPr>
        <w:t>。</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十、其他重要事项情况说明</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（一）事业单位相关运行经费安排情况说明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事业单位相关运行经费主要是指为保障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lastRenderedPageBreak/>
        <w:t>2</w:t>
      </w:r>
      <w:r>
        <w:rPr>
          <w:rFonts w:cs="Times New Roman"/>
          <w:kern w:val="2"/>
          <w:sz w:val="32"/>
          <w:szCs w:val="32"/>
        </w:rPr>
        <w:t>0</w:t>
      </w:r>
      <w:r>
        <w:rPr>
          <w:rFonts w:cs="Times New Roman" w:hint="eastAsia"/>
          <w:kern w:val="2"/>
          <w:sz w:val="32"/>
          <w:szCs w:val="32"/>
        </w:rPr>
        <w:t>23</w:t>
      </w:r>
      <w:r>
        <w:rPr>
          <w:rFonts w:cs="Times New Roman"/>
          <w:kern w:val="2"/>
          <w:sz w:val="32"/>
          <w:szCs w:val="32"/>
        </w:rPr>
        <w:t>年</w:t>
      </w:r>
      <w:r>
        <w:rPr>
          <w:rFonts w:cs="Times New Roman" w:hint="eastAsia"/>
          <w:kern w:val="2"/>
          <w:sz w:val="32"/>
          <w:szCs w:val="32"/>
        </w:rPr>
        <w:t>事业单位相关运行经费预算118.81</w:t>
      </w:r>
      <w:r>
        <w:rPr>
          <w:rFonts w:cs="Times New Roman"/>
          <w:kern w:val="2"/>
          <w:sz w:val="32"/>
          <w:szCs w:val="32"/>
        </w:rPr>
        <w:t>万元，</w:t>
      </w:r>
      <w:r>
        <w:rPr>
          <w:rFonts w:cs="Times New Roman" w:hint="eastAsia"/>
          <w:kern w:val="2"/>
          <w:sz w:val="32"/>
          <w:szCs w:val="32"/>
        </w:rPr>
        <w:t>均为基本支出预算定额商品服务支出，同比减少1.71</w:t>
      </w:r>
      <w:r>
        <w:rPr>
          <w:rFonts w:cs="Times New Roman"/>
          <w:kern w:val="2"/>
          <w:sz w:val="32"/>
          <w:szCs w:val="32"/>
        </w:rPr>
        <w:t>万元，</w:t>
      </w:r>
      <w:r>
        <w:rPr>
          <w:rFonts w:cs="Times New Roman" w:hint="eastAsia"/>
          <w:kern w:val="2"/>
          <w:sz w:val="32"/>
          <w:szCs w:val="32"/>
        </w:rPr>
        <w:t>下降1.42</w:t>
      </w:r>
      <w:r>
        <w:rPr>
          <w:rFonts w:cs="Times New Roman"/>
          <w:kern w:val="2"/>
          <w:sz w:val="32"/>
          <w:szCs w:val="32"/>
        </w:rPr>
        <w:t>%。</w:t>
      </w:r>
      <w:r>
        <w:rPr>
          <w:rFonts w:cs="Times New Roman" w:hint="eastAsia"/>
          <w:kern w:val="2"/>
          <w:sz w:val="32"/>
          <w:szCs w:val="32"/>
        </w:rPr>
        <w:t>下降的主要原因是在编在职人员减少。</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（二）政府采购预算安排情况说明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2</w:t>
      </w:r>
      <w:r>
        <w:rPr>
          <w:rFonts w:cs="Times New Roman"/>
          <w:kern w:val="2"/>
          <w:sz w:val="32"/>
          <w:szCs w:val="32"/>
        </w:rPr>
        <w:t>02</w:t>
      </w:r>
      <w:r>
        <w:rPr>
          <w:rFonts w:cs="Times New Roman" w:hint="eastAsia"/>
          <w:kern w:val="2"/>
          <w:sz w:val="32"/>
          <w:szCs w:val="32"/>
        </w:rPr>
        <w:t>3</w:t>
      </w:r>
      <w:r>
        <w:rPr>
          <w:rFonts w:cs="Times New Roman"/>
          <w:kern w:val="2"/>
          <w:sz w:val="32"/>
          <w:szCs w:val="32"/>
        </w:rPr>
        <w:t>年政府采购预算</w:t>
      </w:r>
      <w:r>
        <w:rPr>
          <w:rFonts w:cs="Times New Roman" w:hint="eastAsia"/>
          <w:kern w:val="2"/>
          <w:sz w:val="32"/>
          <w:szCs w:val="32"/>
        </w:rPr>
        <w:t>140.82</w:t>
      </w:r>
      <w:r>
        <w:rPr>
          <w:rFonts w:cs="Times New Roman"/>
          <w:kern w:val="2"/>
          <w:sz w:val="32"/>
          <w:szCs w:val="32"/>
        </w:rPr>
        <w:t>万元，同比</w:t>
      </w:r>
      <w:r>
        <w:rPr>
          <w:rFonts w:cs="Times New Roman" w:hint="eastAsia"/>
          <w:kern w:val="2"/>
          <w:sz w:val="32"/>
          <w:szCs w:val="32"/>
        </w:rPr>
        <w:t>增加69.18</w:t>
      </w:r>
      <w:r>
        <w:rPr>
          <w:rFonts w:cs="Times New Roman"/>
          <w:kern w:val="2"/>
          <w:sz w:val="32"/>
          <w:szCs w:val="32"/>
        </w:rPr>
        <w:t>万元，</w:t>
      </w:r>
      <w:r>
        <w:rPr>
          <w:rFonts w:cs="Times New Roman" w:hint="eastAsia"/>
          <w:kern w:val="2"/>
          <w:sz w:val="32"/>
          <w:szCs w:val="32"/>
        </w:rPr>
        <w:t>增长96.57</w:t>
      </w:r>
      <w:r>
        <w:rPr>
          <w:rFonts w:cs="Times New Roman"/>
          <w:kern w:val="2"/>
          <w:sz w:val="32"/>
          <w:szCs w:val="32"/>
        </w:rPr>
        <w:t>％，政府采购资金占总支出</w:t>
      </w:r>
      <w:r>
        <w:rPr>
          <w:rFonts w:cs="Times New Roman" w:hint="eastAsia"/>
          <w:kern w:val="2"/>
          <w:sz w:val="32"/>
          <w:szCs w:val="32"/>
        </w:rPr>
        <w:t>7.12%</w:t>
      </w:r>
      <w:r>
        <w:rPr>
          <w:rFonts w:cs="Times New Roman"/>
          <w:kern w:val="2"/>
          <w:sz w:val="32"/>
          <w:szCs w:val="32"/>
        </w:rPr>
        <w:t>，</w:t>
      </w:r>
      <w:r>
        <w:rPr>
          <w:rFonts w:cs="Times New Roman" w:hint="eastAsia"/>
          <w:kern w:val="2"/>
          <w:sz w:val="32"/>
          <w:szCs w:val="32"/>
        </w:rPr>
        <w:t>全为</w:t>
      </w:r>
      <w:r>
        <w:rPr>
          <w:rFonts w:cs="Times New Roman"/>
          <w:kern w:val="2"/>
          <w:sz w:val="32"/>
          <w:szCs w:val="32"/>
        </w:rPr>
        <w:t>集中采购预算</w:t>
      </w:r>
      <w:r>
        <w:rPr>
          <w:rFonts w:cs="Times New Roman" w:hint="eastAsia"/>
          <w:kern w:val="2"/>
          <w:sz w:val="32"/>
          <w:szCs w:val="32"/>
        </w:rPr>
        <w:t>140.82</w:t>
      </w:r>
      <w:r>
        <w:rPr>
          <w:rFonts w:cs="Times New Roman"/>
          <w:kern w:val="2"/>
          <w:sz w:val="32"/>
          <w:szCs w:val="32"/>
        </w:rPr>
        <w:t>万元，占政府采购预算的</w:t>
      </w:r>
      <w:r>
        <w:rPr>
          <w:rFonts w:cs="Times New Roman" w:hint="eastAsia"/>
          <w:kern w:val="2"/>
          <w:sz w:val="32"/>
          <w:szCs w:val="32"/>
        </w:rPr>
        <w:t>100</w:t>
      </w:r>
      <w:r>
        <w:rPr>
          <w:rFonts w:cs="Times New Roman"/>
          <w:kern w:val="2"/>
          <w:sz w:val="32"/>
          <w:szCs w:val="32"/>
        </w:rPr>
        <w:t>%</w:t>
      </w:r>
      <w:r>
        <w:rPr>
          <w:rFonts w:cs="Times New Roman" w:hint="eastAsia"/>
          <w:kern w:val="2"/>
          <w:sz w:val="32"/>
          <w:szCs w:val="32"/>
        </w:rPr>
        <w:t>。</w:t>
      </w:r>
      <w:r>
        <w:rPr>
          <w:rFonts w:cs="Times New Roman"/>
          <w:kern w:val="2"/>
          <w:sz w:val="32"/>
          <w:szCs w:val="32"/>
        </w:rPr>
        <w:t>其中一般公共预算拨款安排</w:t>
      </w:r>
      <w:r>
        <w:rPr>
          <w:rFonts w:cs="Times New Roman" w:hint="eastAsia"/>
          <w:kern w:val="2"/>
          <w:sz w:val="32"/>
          <w:szCs w:val="32"/>
        </w:rPr>
        <w:t>73.02</w:t>
      </w:r>
      <w:r>
        <w:rPr>
          <w:rFonts w:cs="Times New Roman"/>
          <w:kern w:val="2"/>
          <w:sz w:val="32"/>
          <w:szCs w:val="32"/>
        </w:rPr>
        <w:t>万元，其他收入安排安排</w:t>
      </w:r>
      <w:r>
        <w:rPr>
          <w:rFonts w:cs="Times New Roman" w:hint="eastAsia"/>
          <w:kern w:val="2"/>
          <w:sz w:val="32"/>
          <w:szCs w:val="32"/>
        </w:rPr>
        <w:t>42.80</w:t>
      </w:r>
      <w:r>
        <w:rPr>
          <w:rFonts w:cs="Times New Roman"/>
          <w:kern w:val="2"/>
          <w:sz w:val="32"/>
          <w:szCs w:val="32"/>
        </w:rPr>
        <w:t>万元</w:t>
      </w:r>
      <w:r>
        <w:rPr>
          <w:rFonts w:cs="Times New Roman" w:hint="eastAsia"/>
          <w:kern w:val="2"/>
          <w:sz w:val="32"/>
          <w:szCs w:val="32"/>
        </w:rPr>
        <w:t>，上年结余安排25万元</w:t>
      </w:r>
      <w:r>
        <w:rPr>
          <w:rFonts w:cs="Times New Roman"/>
          <w:kern w:val="2"/>
          <w:sz w:val="32"/>
          <w:szCs w:val="32"/>
        </w:rPr>
        <w:t>。</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按政府采购项目类型分为货物类采购、工程类采购和服务类采购三种类型。货物类采购预算76.12</w:t>
      </w:r>
      <w:r>
        <w:rPr>
          <w:rFonts w:cs="Times New Roman"/>
          <w:kern w:val="2"/>
          <w:sz w:val="32"/>
          <w:szCs w:val="32"/>
        </w:rPr>
        <w:t>万元，服务类采购预算</w:t>
      </w:r>
      <w:r>
        <w:rPr>
          <w:rFonts w:cs="Times New Roman" w:hint="eastAsia"/>
          <w:kern w:val="2"/>
          <w:sz w:val="32"/>
          <w:szCs w:val="32"/>
        </w:rPr>
        <w:t>64.70</w:t>
      </w:r>
      <w:r>
        <w:rPr>
          <w:rFonts w:cs="Times New Roman"/>
          <w:kern w:val="2"/>
          <w:sz w:val="32"/>
          <w:szCs w:val="32"/>
        </w:rPr>
        <w:t>万元。</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（三）国有资产占用情况说明</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资产总额为1,659.90</w:t>
      </w:r>
      <w:r>
        <w:rPr>
          <w:rFonts w:cs="Times New Roman"/>
          <w:kern w:val="2"/>
          <w:sz w:val="32"/>
          <w:szCs w:val="32"/>
        </w:rPr>
        <w:t>万元（20</w:t>
      </w:r>
      <w:r>
        <w:rPr>
          <w:rFonts w:cs="Times New Roman" w:hint="eastAsia"/>
          <w:kern w:val="2"/>
          <w:sz w:val="32"/>
          <w:szCs w:val="32"/>
        </w:rPr>
        <w:t>22</w:t>
      </w:r>
      <w:r>
        <w:rPr>
          <w:rFonts w:cs="Times New Roman"/>
          <w:kern w:val="2"/>
          <w:sz w:val="32"/>
          <w:szCs w:val="32"/>
        </w:rPr>
        <w:t>年初数据），其中：</w:t>
      </w:r>
      <w:r>
        <w:rPr>
          <w:rFonts w:cs="Times New Roman" w:hint="eastAsia"/>
          <w:kern w:val="2"/>
          <w:sz w:val="32"/>
          <w:szCs w:val="32"/>
        </w:rPr>
        <w:t>固定资产1,307.54</w:t>
      </w:r>
      <w:r>
        <w:rPr>
          <w:rFonts w:cs="Times New Roman"/>
          <w:kern w:val="2"/>
          <w:sz w:val="32"/>
          <w:szCs w:val="32"/>
        </w:rPr>
        <w:t>万元，流动资产</w:t>
      </w:r>
      <w:r>
        <w:rPr>
          <w:rFonts w:cs="Times New Roman" w:hint="eastAsia"/>
          <w:kern w:val="2"/>
          <w:sz w:val="32"/>
          <w:szCs w:val="32"/>
        </w:rPr>
        <w:t>345.49</w:t>
      </w:r>
      <w:r>
        <w:rPr>
          <w:rFonts w:cs="Times New Roman"/>
          <w:kern w:val="2"/>
          <w:sz w:val="32"/>
          <w:szCs w:val="32"/>
        </w:rPr>
        <w:t>万元，无形资产</w:t>
      </w:r>
      <w:r>
        <w:rPr>
          <w:rFonts w:cs="Times New Roman" w:hint="eastAsia"/>
          <w:kern w:val="2"/>
          <w:sz w:val="32"/>
          <w:szCs w:val="32"/>
        </w:rPr>
        <w:t>6.88</w:t>
      </w:r>
      <w:r>
        <w:rPr>
          <w:rFonts w:cs="Times New Roman"/>
          <w:kern w:val="2"/>
          <w:sz w:val="32"/>
          <w:szCs w:val="32"/>
        </w:rPr>
        <w:t>万元。固定资产主要有：</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 xml:space="preserve">1.房屋 </w:t>
      </w:r>
      <w:r>
        <w:rPr>
          <w:rFonts w:cs="Times New Roman" w:hint="eastAsia"/>
          <w:kern w:val="2"/>
          <w:sz w:val="32"/>
          <w:szCs w:val="32"/>
        </w:rPr>
        <w:t>14,067.46</w:t>
      </w:r>
      <w:r>
        <w:rPr>
          <w:rFonts w:cs="Times New Roman"/>
          <w:kern w:val="2"/>
          <w:sz w:val="32"/>
          <w:szCs w:val="32"/>
        </w:rPr>
        <w:t>平方米，</w:t>
      </w:r>
      <w:r>
        <w:rPr>
          <w:rFonts w:cs="Times New Roman" w:hint="eastAsia"/>
          <w:kern w:val="2"/>
          <w:sz w:val="32"/>
          <w:szCs w:val="32"/>
        </w:rPr>
        <w:t>主要为办公用房、业务用房和其他等。</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2.</w:t>
      </w:r>
      <w:r>
        <w:rPr>
          <w:rFonts w:cs="Times New Roman" w:hint="eastAsia"/>
          <w:kern w:val="2"/>
          <w:sz w:val="32"/>
          <w:szCs w:val="32"/>
        </w:rPr>
        <w:t>单位车辆编制7</w:t>
      </w:r>
      <w:r>
        <w:rPr>
          <w:rFonts w:cs="Times New Roman"/>
          <w:kern w:val="2"/>
          <w:sz w:val="32"/>
          <w:szCs w:val="32"/>
        </w:rPr>
        <w:t>辆，实有车辆</w:t>
      </w:r>
      <w:r>
        <w:rPr>
          <w:rFonts w:cs="Times New Roman" w:hint="eastAsia"/>
          <w:kern w:val="2"/>
          <w:sz w:val="32"/>
          <w:szCs w:val="32"/>
        </w:rPr>
        <w:t>7</w:t>
      </w:r>
      <w:r>
        <w:rPr>
          <w:rFonts w:cs="Times New Roman"/>
          <w:kern w:val="2"/>
          <w:sz w:val="32"/>
          <w:szCs w:val="32"/>
        </w:rPr>
        <w:t>辆，车辆主要用于保障广播电视发射台站运行维护。</w:t>
      </w: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（四）重点项目预算绩效目标等情况说明</w:t>
      </w:r>
    </w:p>
    <w:p w:rsidR="001350DD" w:rsidRDefault="00284F0E">
      <w:pPr>
        <w:spacing w:line="348" w:lineRule="auto"/>
        <w:ind w:firstLineChars="200" w:firstLine="640"/>
        <w:rPr>
          <w:rFonts w:cs="Times New Roman"/>
          <w:kern w:val="2"/>
          <w:sz w:val="32"/>
          <w:szCs w:val="32"/>
        </w:rPr>
      </w:pPr>
      <w:r>
        <w:rPr>
          <w:rFonts w:cs="Times New Roman"/>
          <w:kern w:val="2"/>
          <w:sz w:val="32"/>
          <w:szCs w:val="32"/>
        </w:rPr>
        <w:t>202</w:t>
      </w:r>
      <w:r>
        <w:rPr>
          <w:rFonts w:cs="Times New Roman" w:hint="eastAsia"/>
          <w:kern w:val="2"/>
          <w:sz w:val="32"/>
          <w:szCs w:val="32"/>
        </w:rPr>
        <w:t>3</w:t>
      </w:r>
      <w:r>
        <w:rPr>
          <w:rFonts w:cs="Times New Roman"/>
          <w:kern w:val="2"/>
          <w:sz w:val="32"/>
          <w:szCs w:val="32"/>
        </w:rPr>
        <w:t>年部门预算中</w:t>
      </w:r>
      <w:r>
        <w:rPr>
          <w:rFonts w:cs="Times New Roman" w:hint="eastAsia"/>
          <w:kern w:val="2"/>
          <w:sz w:val="32"/>
          <w:szCs w:val="32"/>
        </w:rPr>
        <w:t>重点</w:t>
      </w:r>
      <w:r>
        <w:rPr>
          <w:rFonts w:cs="Times New Roman"/>
          <w:kern w:val="2"/>
          <w:sz w:val="32"/>
          <w:szCs w:val="32"/>
        </w:rPr>
        <w:t>绩效项目有</w:t>
      </w:r>
      <w:r>
        <w:rPr>
          <w:rFonts w:cs="Times New Roman" w:hint="eastAsia"/>
          <w:kern w:val="2"/>
          <w:sz w:val="32"/>
          <w:szCs w:val="32"/>
        </w:rPr>
        <w:t>8</w:t>
      </w:r>
      <w:r>
        <w:rPr>
          <w:rFonts w:cs="Times New Roman"/>
          <w:kern w:val="2"/>
          <w:sz w:val="32"/>
          <w:szCs w:val="32"/>
        </w:rPr>
        <w:t>个，项目资金</w:t>
      </w:r>
      <w:r>
        <w:rPr>
          <w:rFonts w:cs="Times New Roman" w:hint="eastAsia"/>
          <w:kern w:val="2"/>
          <w:sz w:val="32"/>
          <w:szCs w:val="32"/>
        </w:rPr>
        <w:lastRenderedPageBreak/>
        <w:t>480.06</w:t>
      </w:r>
      <w:r>
        <w:rPr>
          <w:rFonts w:cs="Times New Roman"/>
          <w:kern w:val="2"/>
          <w:sz w:val="32"/>
          <w:szCs w:val="32"/>
        </w:rPr>
        <w:t>万元</w:t>
      </w:r>
      <w:r>
        <w:rPr>
          <w:rFonts w:cs="Times New Roman" w:hint="eastAsia"/>
          <w:kern w:val="2"/>
          <w:sz w:val="32"/>
          <w:szCs w:val="32"/>
        </w:rPr>
        <w:t>，其中</w:t>
      </w:r>
      <w:r>
        <w:rPr>
          <w:rFonts w:cs="Times New Roman"/>
          <w:kern w:val="2"/>
          <w:sz w:val="32"/>
          <w:szCs w:val="32"/>
        </w:rPr>
        <w:t>一般公共预算拨款安排</w:t>
      </w:r>
      <w:r>
        <w:rPr>
          <w:rFonts w:cs="Times New Roman" w:hint="eastAsia"/>
          <w:kern w:val="2"/>
          <w:sz w:val="32"/>
          <w:szCs w:val="32"/>
        </w:rPr>
        <w:t>421.26万元，其他收入安排24.10万元，上年结余安排34.70万元。</w:t>
      </w:r>
      <w:bookmarkStart w:id="0" w:name="_GoBack"/>
      <w:bookmarkEnd w:id="0"/>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详见广西广播电视技术中心玉林分中心2023年</w:t>
      </w:r>
      <w:r w:rsidR="00756E66">
        <w:rPr>
          <w:rFonts w:cs="Times New Roman" w:hint="eastAsia"/>
          <w:kern w:val="2"/>
          <w:sz w:val="32"/>
          <w:szCs w:val="32"/>
        </w:rPr>
        <w:t>单位</w:t>
      </w:r>
      <w:r>
        <w:rPr>
          <w:rFonts w:cs="Times New Roman" w:hint="eastAsia"/>
          <w:kern w:val="2"/>
          <w:sz w:val="32"/>
          <w:szCs w:val="32"/>
        </w:rPr>
        <w:t>预算</w:t>
      </w:r>
      <w:r w:rsidR="00756E66">
        <w:rPr>
          <w:rFonts w:cs="Times New Roman" w:hint="eastAsia"/>
          <w:kern w:val="2"/>
          <w:sz w:val="32"/>
          <w:szCs w:val="32"/>
        </w:rPr>
        <w:t>公开</w:t>
      </w:r>
      <w:r>
        <w:rPr>
          <w:rFonts w:cs="Times New Roman" w:hint="eastAsia"/>
          <w:kern w:val="2"/>
          <w:sz w:val="32"/>
          <w:szCs w:val="32"/>
        </w:rPr>
        <w:t>报表中的表</w:t>
      </w:r>
      <w:r w:rsidR="00756E66">
        <w:rPr>
          <w:rFonts w:cs="Times New Roman" w:hint="eastAsia"/>
          <w:kern w:val="2"/>
          <w:sz w:val="32"/>
          <w:szCs w:val="32"/>
        </w:rPr>
        <w:t>10</w:t>
      </w:r>
      <w:r>
        <w:rPr>
          <w:rFonts w:cs="Times New Roman" w:hint="eastAsia"/>
          <w:kern w:val="2"/>
          <w:sz w:val="32"/>
          <w:szCs w:val="32"/>
        </w:rPr>
        <w:t>《2023年度预算项目绩效目标公开表》。</w:t>
      </w:r>
    </w:p>
    <w:p w:rsidR="009B587D" w:rsidRDefault="009B587D">
      <w:pPr>
        <w:spacing w:line="348" w:lineRule="auto"/>
        <w:ind w:firstLineChars="200" w:firstLine="640"/>
        <w:rPr>
          <w:rFonts w:cs="Times New Roman"/>
          <w:kern w:val="2"/>
          <w:sz w:val="32"/>
          <w:szCs w:val="32"/>
        </w:rPr>
      </w:pP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第三部分：名词解释</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一、财政拨款收入：指自治区财政部门当年拨付的资金。</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二、其他收入：指除上述“财政拨款收入”、“事业收入”、“经营收入”等以外的收入。</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三、年初结转和结余：指以前年度尚未完成、结转到本年按有关规定继续使用的资金。</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四、年末结转和结余：指本年度或以前年度预算安排、因客观条件发生变化无法按原计划实施，需要延迟到以后年度按有关规定继续使用的资金。</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五、基本支出：指为保障机构正常运转、完成日常工作任务而发生的人员支出和公用支出。</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六、项目支出：指在基本支出之外为完成特定行政任务和事业发展目标所发生的支出。</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七、“三公”经费：纳入自治区财政预决算管理的“三公”经费，是指自治区本级各部门用财政拨款安排的因公出国（境）费、公务用车购置及运行费和公务接待费。其中，因公出国（境）费反映单位公务出国（境）的国际旅费、国</w:t>
      </w:r>
      <w:r>
        <w:rPr>
          <w:rFonts w:cs="Times New Roman" w:hint="eastAsia"/>
          <w:kern w:val="2"/>
          <w:sz w:val="32"/>
          <w:szCs w:val="32"/>
        </w:rPr>
        <w:lastRenderedPageBreak/>
        <w:t>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350DD" w:rsidRDefault="00284F0E">
      <w:pPr>
        <w:spacing w:line="348" w:lineRule="auto"/>
        <w:ind w:firstLineChars="200" w:firstLine="640"/>
        <w:rPr>
          <w:rFonts w:cs="Times New Roman"/>
          <w:kern w:val="2"/>
          <w:sz w:val="32"/>
          <w:szCs w:val="32"/>
        </w:rPr>
      </w:pPr>
      <w:r>
        <w:rPr>
          <w:rFonts w:cs="Times New Roman" w:hint="eastAsia"/>
          <w:kern w:val="2"/>
          <w:sz w:val="32"/>
          <w:szCs w:val="32"/>
        </w:rPr>
        <w:t>八、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587D" w:rsidRDefault="009B587D" w:rsidP="009B587D">
      <w:pPr>
        <w:spacing w:line="348" w:lineRule="auto"/>
        <w:ind w:firstLineChars="200" w:firstLine="440"/>
        <w:rPr>
          <w:rFonts w:ascii="仿宋" w:eastAsia="仿宋" w:hAnsi="仿宋"/>
        </w:rPr>
      </w:pPr>
    </w:p>
    <w:p w:rsidR="001350DD" w:rsidRDefault="00284F0E">
      <w:pPr>
        <w:spacing w:line="348" w:lineRule="auto"/>
        <w:ind w:firstLineChars="200" w:firstLine="640"/>
        <w:rPr>
          <w:rFonts w:ascii="黑体" w:eastAsia="黑体" w:hAnsi="Times New Roman" w:cs="Times New Roman"/>
          <w:kern w:val="2"/>
          <w:sz w:val="32"/>
          <w:szCs w:val="32"/>
        </w:rPr>
      </w:pPr>
      <w:r>
        <w:rPr>
          <w:rFonts w:ascii="黑体" w:eastAsia="黑体" w:hAnsi="Times New Roman" w:cs="Times New Roman" w:hint="eastAsia"/>
          <w:kern w:val="2"/>
          <w:sz w:val="32"/>
          <w:szCs w:val="32"/>
        </w:rPr>
        <w:t>第四部分：广西广播电视技术中心</w:t>
      </w:r>
      <w:r>
        <w:rPr>
          <w:rFonts w:ascii="黑体" w:eastAsia="黑体" w:hAnsi="Times New Roman" w:cs="Times New Roman"/>
          <w:kern w:val="2"/>
          <w:sz w:val="32"/>
          <w:szCs w:val="32"/>
        </w:rPr>
        <w:t>202</w:t>
      </w:r>
      <w:r>
        <w:rPr>
          <w:rFonts w:ascii="黑体" w:eastAsia="黑体" w:hAnsi="Times New Roman" w:cs="Times New Roman" w:hint="eastAsia"/>
          <w:kern w:val="2"/>
          <w:sz w:val="32"/>
          <w:szCs w:val="32"/>
        </w:rPr>
        <w:t>3</w:t>
      </w:r>
      <w:r>
        <w:rPr>
          <w:rFonts w:ascii="黑体" w:eastAsia="黑体" w:hAnsi="Times New Roman" w:cs="Times New Roman"/>
          <w:kern w:val="2"/>
          <w:sz w:val="32"/>
          <w:szCs w:val="32"/>
        </w:rPr>
        <w:t>年单位预算</w:t>
      </w:r>
      <w:r w:rsidR="00756E66">
        <w:rPr>
          <w:rFonts w:ascii="黑体" w:eastAsia="黑体" w:hAnsi="Times New Roman" w:cs="Times New Roman" w:hint="eastAsia"/>
          <w:kern w:val="2"/>
          <w:sz w:val="32"/>
          <w:szCs w:val="32"/>
        </w:rPr>
        <w:t>公开</w:t>
      </w:r>
      <w:r>
        <w:rPr>
          <w:rFonts w:ascii="黑体" w:eastAsia="黑体" w:hAnsi="Times New Roman" w:cs="Times New Roman"/>
          <w:kern w:val="2"/>
          <w:sz w:val="32"/>
          <w:szCs w:val="32"/>
        </w:rPr>
        <w:t>报表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一、单位收支总体情况表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二、单位收入总体情况表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三、单位支出总体情况表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四、财政拨款收支总体情况表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kern w:val="2"/>
          <w:sz w:val="32"/>
          <w:szCs w:val="32"/>
        </w:rPr>
        <w:t>五、一般公共预算支出</w:t>
      </w:r>
      <w:r>
        <w:rPr>
          <w:rFonts w:cs="Times New Roman" w:hint="eastAsia"/>
          <w:kern w:val="2"/>
          <w:sz w:val="32"/>
          <w:szCs w:val="32"/>
        </w:rPr>
        <w:t>情况</w:t>
      </w:r>
      <w:r>
        <w:rPr>
          <w:rFonts w:cs="Times New Roman"/>
          <w:kern w:val="2"/>
          <w:sz w:val="32"/>
          <w:szCs w:val="32"/>
        </w:rPr>
        <w:t>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六、一般公共预算基本支出情况表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七、财政拨款“三公”经费、会议费和培训费支出情况表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八、政府性基金预算支出情况表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九、国有资本经营预算支出情况表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t>十、2023年度预算项目绩效目标公开表</w:t>
      </w:r>
    </w:p>
    <w:p w:rsidR="001350DD" w:rsidRDefault="00284F0E">
      <w:pPr>
        <w:autoSpaceDE/>
        <w:autoSpaceDN/>
        <w:adjustRightInd w:val="0"/>
        <w:snapToGrid w:val="0"/>
        <w:spacing w:line="600" w:lineRule="exact"/>
        <w:ind w:rightChars="-104" w:right="-229" w:firstLine="640"/>
        <w:jc w:val="both"/>
        <w:rPr>
          <w:rFonts w:cs="Times New Roman"/>
          <w:kern w:val="2"/>
          <w:sz w:val="32"/>
          <w:szCs w:val="32"/>
        </w:rPr>
      </w:pPr>
      <w:r>
        <w:rPr>
          <w:rFonts w:cs="Times New Roman" w:hint="eastAsia"/>
          <w:kern w:val="2"/>
          <w:sz w:val="32"/>
          <w:szCs w:val="32"/>
        </w:rPr>
        <w:lastRenderedPageBreak/>
        <w:t>详见广西广播电视技术中心玉林分中心</w:t>
      </w:r>
      <w:r>
        <w:rPr>
          <w:rFonts w:cs="Times New Roman"/>
          <w:kern w:val="2"/>
          <w:sz w:val="32"/>
          <w:szCs w:val="32"/>
        </w:rPr>
        <w:t>202</w:t>
      </w:r>
      <w:r>
        <w:rPr>
          <w:rFonts w:cs="Times New Roman" w:hint="eastAsia"/>
          <w:kern w:val="2"/>
          <w:sz w:val="32"/>
          <w:szCs w:val="32"/>
        </w:rPr>
        <w:t>3</w:t>
      </w:r>
      <w:r>
        <w:rPr>
          <w:rFonts w:cs="Times New Roman"/>
          <w:kern w:val="2"/>
          <w:sz w:val="32"/>
          <w:szCs w:val="32"/>
        </w:rPr>
        <w:t>年</w:t>
      </w:r>
      <w:r w:rsidR="00756E66">
        <w:rPr>
          <w:rFonts w:cs="Times New Roman" w:hint="eastAsia"/>
          <w:kern w:val="2"/>
          <w:sz w:val="32"/>
          <w:szCs w:val="32"/>
        </w:rPr>
        <w:t>单位</w:t>
      </w:r>
      <w:r>
        <w:rPr>
          <w:rFonts w:cs="Times New Roman"/>
          <w:kern w:val="2"/>
          <w:sz w:val="32"/>
          <w:szCs w:val="32"/>
        </w:rPr>
        <w:t>预算</w:t>
      </w:r>
      <w:r w:rsidR="00756E66">
        <w:rPr>
          <w:rFonts w:cs="Times New Roman" w:hint="eastAsia"/>
          <w:kern w:val="2"/>
          <w:sz w:val="32"/>
          <w:szCs w:val="32"/>
        </w:rPr>
        <w:t>公开</w:t>
      </w:r>
      <w:r>
        <w:rPr>
          <w:rFonts w:cs="Times New Roman"/>
          <w:kern w:val="2"/>
          <w:sz w:val="32"/>
          <w:szCs w:val="32"/>
        </w:rPr>
        <w:t>报表。</w:t>
      </w:r>
    </w:p>
    <w:sectPr w:rsidR="001350DD" w:rsidSect="001350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78B" w:rsidRDefault="0047278B" w:rsidP="00756E66">
      <w:pPr>
        <w:ind w:firstLine="640"/>
      </w:pPr>
      <w:r>
        <w:separator/>
      </w:r>
    </w:p>
  </w:endnote>
  <w:endnote w:type="continuationSeparator" w:id="1">
    <w:p w:rsidR="0047278B" w:rsidRDefault="0047278B" w:rsidP="00756E6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78B" w:rsidRDefault="0047278B" w:rsidP="00756E66">
      <w:pPr>
        <w:ind w:firstLine="640"/>
      </w:pPr>
      <w:r>
        <w:separator/>
      </w:r>
    </w:p>
  </w:footnote>
  <w:footnote w:type="continuationSeparator" w:id="1">
    <w:p w:rsidR="0047278B" w:rsidRDefault="0047278B" w:rsidP="00756E66">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E0ODBhNzUwMWVmZDc5NjVlZWEyYzdmNDIwNjI4NDkifQ=="/>
  </w:docVars>
  <w:rsids>
    <w:rsidRoot w:val="004D5E7C"/>
    <w:rsid w:val="000006E9"/>
    <w:rsid w:val="00003473"/>
    <w:rsid w:val="00003FF3"/>
    <w:rsid w:val="00004895"/>
    <w:rsid w:val="000049A2"/>
    <w:rsid w:val="00005B77"/>
    <w:rsid w:val="00006673"/>
    <w:rsid w:val="000072E5"/>
    <w:rsid w:val="0000792F"/>
    <w:rsid w:val="00010053"/>
    <w:rsid w:val="000102C6"/>
    <w:rsid w:val="00010474"/>
    <w:rsid w:val="00011939"/>
    <w:rsid w:val="0001321D"/>
    <w:rsid w:val="00013E80"/>
    <w:rsid w:val="00013F28"/>
    <w:rsid w:val="000149CA"/>
    <w:rsid w:val="00014BAB"/>
    <w:rsid w:val="0001515B"/>
    <w:rsid w:val="000151C1"/>
    <w:rsid w:val="00015A54"/>
    <w:rsid w:val="000160C0"/>
    <w:rsid w:val="000161BB"/>
    <w:rsid w:val="00017031"/>
    <w:rsid w:val="000174D6"/>
    <w:rsid w:val="00020181"/>
    <w:rsid w:val="00021D60"/>
    <w:rsid w:val="00022F8C"/>
    <w:rsid w:val="00023121"/>
    <w:rsid w:val="000249F9"/>
    <w:rsid w:val="00031024"/>
    <w:rsid w:val="00031F2E"/>
    <w:rsid w:val="000328A4"/>
    <w:rsid w:val="00033435"/>
    <w:rsid w:val="0003361C"/>
    <w:rsid w:val="00033F13"/>
    <w:rsid w:val="00035F0C"/>
    <w:rsid w:val="00037FA4"/>
    <w:rsid w:val="000404FF"/>
    <w:rsid w:val="00040FCF"/>
    <w:rsid w:val="000413E5"/>
    <w:rsid w:val="00044809"/>
    <w:rsid w:val="00044AD1"/>
    <w:rsid w:val="00044BF2"/>
    <w:rsid w:val="0004546C"/>
    <w:rsid w:val="000456E2"/>
    <w:rsid w:val="000470DF"/>
    <w:rsid w:val="0005020C"/>
    <w:rsid w:val="00050C8E"/>
    <w:rsid w:val="000531FC"/>
    <w:rsid w:val="0005707D"/>
    <w:rsid w:val="0005759B"/>
    <w:rsid w:val="00057826"/>
    <w:rsid w:val="00062D51"/>
    <w:rsid w:val="00063441"/>
    <w:rsid w:val="000640FD"/>
    <w:rsid w:val="00064707"/>
    <w:rsid w:val="00064BF3"/>
    <w:rsid w:val="0006666D"/>
    <w:rsid w:val="00066A95"/>
    <w:rsid w:val="00066D7A"/>
    <w:rsid w:val="00066DE4"/>
    <w:rsid w:val="000675A5"/>
    <w:rsid w:val="00071907"/>
    <w:rsid w:val="00072C79"/>
    <w:rsid w:val="00073180"/>
    <w:rsid w:val="00074115"/>
    <w:rsid w:val="00075C84"/>
    <w:rsid w:val="000774F5"/>
    <w:rsid w:val="00082303"/>
    <w:rsid w:val="00082399"/>
    <w:rsid w:val="00083398"/>
    <w:rsid w:val="000837FA"/>
    <w:rsid w:val="00084256"/>
    <w:rsid w:val="00085D0C"/>
    <w:rsid w:val="00086863"/>
    <w:rsid w:val="00086D98"/>
    <w:rsid w:val="00087403"/>
    <w:rsid w:val="00087575"/>
    <w:rsid w:val="000919C3"/>
    <w:rsid w:val="00091B63"/>
    <w:rsid w:val="0009291A"/>
    <w:rsid w:val="00092D53"/>
    <w:rsid w:val="0009678D"/>
    <w:rsid w:val="00096791"/>
    <w:rsid w:val="000A08A0"/>
    <w:rsid w:val="000A1275"/>
    <w:rsid w:val="000A2A55"/>
    <w:rsid w:val="000A65CF"/>
    <w:rsid w:val="000A6AD0"/>
    <w:rsid w:val="000A6C7F"/>
    <w:rsid w:val="000B296B"/>
    <w:rsid w:val="000B2CD8"/>
    <w:rsid w:val="000B375D"/>
    <w:rsid w:val="000B4C5D"/>
    <w:rsid w:val="000C0A32"/>
    <w:rsid w:val="000C0C3D"/>
    <w:rsid w:val="000C479D"/>
    <w:rsid w:val="000C7AF2"/>
    <w:rsid w:val="000D0607"/>
    <w:rsid w:val="000D52C7"/>
    <w:rsid w:val="000D59E6"/>
    <w:rsid w:val="000D6EA6"/>
    <w:rsid w:val="000D700D"/>
    <w:rsid w:val="000E00C0"/>
    <w:rsid w:val="000E0953"/>
    <w:rsid w:val="000E2692"/>
    <w:rsid w:val="000E2C6B"/>
    <w:rsid w:val="000E4565"/>
    <w:rsid w:val="000E45C0"/>
    <w:rsid w:val="000E4C9F"/>
    <w:rsid w:val="000E55BE"/>
    <w:rsid w:val="000E628D"/>
    <w:rsid w:val="000E62C6"/>
    <w:rsid w:val="000E67CC"/>
    <w:rsid w:val="000E7961"/>
    <w:rsid w:val="000F0F4F"/>
    <w:rsid w:val="000F227F"/>
    <w:rsid w:val="000F4196"/>
    <w:rsid w:val="000F523F"/>
    <w:rsid w:val="000F57FF"/>
    <w:rsid w:val="000F5B92"/>
    <w:rsid w:val="000F5F33"/>
    <w:rsid w:val="000F6C60"/>
    <w:rsid w:val="0010176B"/>
    <w:rsid w:val="00102D45"/>
    <w:rsid w:val="00104183"/>
    <w:rsid w:val="00104315"/>
    <w:rsid w:val="00105900"/>
    <w:rsid w:val="00105CFA"/>
    <w:rsid w:val="00105F01"/>
    <w:rsid w:val="00106507"/>
    <w:rsid w:val="00106F0B"/>
    <w:rsid w:val="00107F80"/>
    <w:rsid w:val="00110626"/>
    <w:rsid w:val="001142A3"/>
    <w:rsid w:val="001143DA"/>
    <w:rsid w:val="0011507F"/>
    <w:rsid w:val="0011557E"/>
    <w:rsid w:val="001155FA"/>
    <w:rsid w:val="0011569F"/>
    <w:rsid w:val="001158CF"/>
    <w:rsid w:val="0011610D"/>
    <w:rsid w:val="0012221B"/>
    <w:rsid w:val="001226DC"/>
    <w:rsid w:val="00122BC0"/>
    <w:rsid w:val="00122EEA"/>
    <w:rsid w:val="00123866"/>
    <w:rsid w:val="00123C7C"/>
    <w:rsid w:val="00126290"/>
    <w:rsid w:val="001303D6"/>
    <w:rsid w:val="00130FEF"/>
    <w:rsid w:val="0013193F"/>
    <w:rsid w:val="001323BE"/>
    <w:rsid w:val="0013318E"/>
    <w:rsid w:val="00133644"/>
    <w:rsid w:val="0013412F"/>
    <w:rsid w:val="001350DD"/>
    <w:rsid w:val="00136752"/>
    <w:rsid w:val="0013738B"/>
    <w:rsid w:val="00137A60"/>
    <w:rsid w:val="00144FFB"/>
    <w:rsid w:val="001470B7"/>
    <w:rsid w:val="00150CD9"/>
    <w:rsid w:val="001511C9"/>
    <w:rsid w:val="00152A04"/>
    <w:rsid w:val="001530DE"/>
    <w:rsid w:val="001532A1"/>
    <w:rsid w:val="0015368C"/>
    <w:rsid w:val="00154701"/>
    <w:rsid w:val="001555A7"/>
    <w:rsid w:val="0016023C"/>
    <w:rsid w:val="001623F4"/>
    <w:rsid w:val="00166AE8"/>
    <w:rsid w:val="00167154"/>
    <w:rsid w:val="00170C66"/>
    <w:rsid w:val="00174DAC"/>
    <w:rsid w:val="00176E96"/>
    <w:rsid w:val="00177045"/>
    <w:rsid w:val="00177478"/>
    <w:rsid w:val="00177E31"/>
    <w:rsid w:val="00182872"/>
    <w:rsid w:val="00182D70"/>
    <w:rsid w:val="00183767"/>
    <w:rsid w:val="00183E49"/>
    <w:rsid w:val="0018552D"/>
    <w:rsid w:val="00186012"/>
    <w:rsid w:val="00187BAE"/>
    <w:rsid w:val="00190FCE"/>
    <w:rsid w:val="00191CAE"/>
    <w:rsid w:val="00192F14"/>
    <w:rsid w:val="00192FD2"/>
    <w:rsid w:val="00193D33"/>
    <w:rsid w:val="001947BC"/>
    <w:rsid w:val="0019505D"/>
    <w:rsid w:val="00197D97"/>
    <w:rsid w:val="001A0538"/>
    <w:rsid w:val="001A104A"/>
    <w:rsid w:val="001A2F70"/>
    <w:rsid w:val="001A3142"/>
    <w:rsid w:val="001A3309"/>
    <w:rsid w:val="001A59D5"/>
    <w:rsid w:val="001A667D"/>
    <w:rsid w:val="001A7AEB"/>
    <w:rsid w:val="001B12F1"/>
    <w:rsid w:val="001B132B"/>
    <w:rsid w:val="001B42CD"/>
    <w:rsid w:val="001B4D15"/>
    <w:rsid w:val="001B72B7"/>
    <w:rsid w:val="001C1088"/>
    <w:rsid w:val="001C154A"/>
    <w:rsid w:val="001C195A"/>
    <w:rsid w:val="001C229D"/>
    <w:rsid w:val="001C2EEB"/>
    <w:rsid w:val="001C315E"/>
    <w:rsid w:val="001C3C18"/>
    <w:rsid w:val="001C60DD"/>
    <w:rsid w:val="001C78C4"/>
    <w:rsid w:val="001D06EB"/>
    <w:rsid w:val="001D0CEC"/>
    <w:rsid w:val="001D24C7"/>
    <w:rsid w:val="001D28FC"/>
    <w:rsid w:val="001D37F0"/>
    <w:rsid w:val="001D3A9B"/>
    <w:rsid w:val="001D3C9B"/>
    <w:rsid w:val="001D4A0F"/>
    <w:rsid w:val="001D54B9"/>
    <w:rsid w:val="001D59F9"/>
    <w:rsid w:val="001D5BE3"/>
    <w:rsid w:val="001D61CA"/>
    <w:rsid w:val="001D61DB"/>
    <w:rsid w:val="001D7E17"/>
    <w:rsid w:val="001E033A"/>
    <w:rsid w:val="001E2C70"/>
    <w:rsid w:val="001E3207"/>
    <w:rsid w:val="001E3C8E"/>
    <w:rsid w:val="001E3C98"/>
    <w:rsid w:val="001E4F38"/>
    <w:rsid w:val="001E5A2B"/>
    <w:rsid w:val="001E6505"/>
    <w:rsid w:val="001E65BF"/>
    <w:rsid w:val="001E7AB6"/>
    <w:rsid w:val="001F0028"/>
    <w:rsid w:val="001F1512"/>
    <w:rsid w:val="001F233A"/>
    <w:rsid w:val="001F33B4"/>
    <w:rsid w:val="001F358F"/>
    <w:rsid w:val="001F4560"/>
    <w:rsid w:val="001F4F55"/>
    <w:rsid w:val="001F63FA"/>
    <w:rsid w:val="001F6AC7"/>
    <w:rsid w:val="001F6B18"/>
    <w:rsid w:val="001F7AD7"/>
    <w:rsid w:val="00200F1A"/>
    <w:rsid w:val="00201560"/>
    <w:rsid w:val="00202A16"/>
    <w:rsid w:val="002033EA"/>
    <w:rsid w:val="002054C6"/>
    <w:rsid w:val="00205BBD"/>
    <w:rsid w:val="002060A5"/>
    <w:rsid w:val="00212C04"/>
    <w:rsid w:val="002131AD"/>
    <w:rsid w:val="00215285"/>
    <w:rsid w:val="002158A5"/>
    <w:rsid w:val="00216EF9"/>
    <w:rsid w:val="0021747D"/>
    <w:rsid w:val="0022002C"/>
    <w:rsid w:val="002215CD"/>
    <w:rsid w:val="00223B04"/>
    <w:rsid w:val="002259D9"/>
    <w:rsid w:val="00227012"/>
    <w:rsid w:val="00231D0B"/>
    <w:rsid w:val="00233C35"/>
    <w:rsid w:val="00234501"/>
    <w:rsid w:val="00235073"/>
    <w:rsid w:val="00235A63"/>
    <w:rsid w:val="00236B7D"/>
    <w:rsid w:val="00241A2B"/>
    <w:rsid w:val="0024364E"/>
    <w:rsid w:val="00243CCC"/>
    <w:rsid w:val="00244E15"/>
    <w:rsid w:val="002456E4"/>
    <w:rsid w:val="00246A7F"/>
    <w:rsid w:val="00246D75"/>
    <w:rsid w:val="00246EFA"/>
    <w:rsid w:val="002504C5"/>
    <w:rsid w:val="0025121B"/>
    <w:rsid w:val="002543F9"/>
    <w:rsid w:val="002544FE"/>
    <w:rsid w:val="00255A95"/>
    <w:rsid w:val="002574B6"/>
    <w:rsid w:val="00257AC5"/>
    <w:rsid w:val="002608D7"/>
    <w:rsid w:val="00260AC4"/>
    <w:rsid w:val="00260B6F"/>
    <w:rsid w:val="00263973"/>
    <w:rsid w:val="00265ABB"/>
    <w:rsid w:val="00265E64"/>
    <w:rsid w:val="002669DA"/>
    <w:rsid w:val="002676CC"/>
    <w:rsid w:val="002705A0"/>
    <w:rsid w:val="0027233F"/>
    <w:rsid w:val="00272FFA"/>
    <w:rsid w:val="00273B4B"/>
    <w:rsid w:val="00273D50"/>
    <w:rsid w:val="00275017"/>
    <w:rsid w:val="00275838"/>
    <w:rsid w:val="00276C3A"/>
    <w:rsid w:val="002808E3"/>
    <w:rsid w:val="00281748"/>
    <w:rsid w:val="002834EA"/>
    <w:rsid w:val="00283D4C"/>
    <w:rsid w:val="00283E16"/>
    <w:rsid w:val="002843DE"/>
    <w:rsid w:val="00284F0E"/>
    <w:rsid w:val="00287AC8"/>
    <w:rsid w:val="0029250E"/>
    <w:rsid w:val="00292C7D"/>
    <w:rsid w:val="00294FA0"/>
    <w:rsid w:val="00295741"/>
    <w:rsid w:val="002962BD"/>
    <w:rsid w:val="0029659C"/>
    <w:rsid w:val="002976AB"/>
    <w:rsid w:val="002A2A72"/>
    <w:rsid w:val="002A2EB2"/>
    <w:rsid w:val="002A3E5C"/>
    <w:rsid w:val="002A3FEF"/>
    <w:rsid w:val="002A6F8E"/>
    <w:rsid w:val="002A7948"/>
    <w:rsid w:val="002B4FFE"/>
    <w:rsid w:val="002B55EA"/>
    <w:rsid w:val="002B5A00"/>
    <w:rsid w:val="002B67BD"/>
    <w:rsid w:val="002B6BFB"/>
    <w:rsid w:val="002B6F14"/>
    <w:rsid w:val="002B7092"/>
    <w:rsid w:val="002C03B0"/>
    <w:rsid w:val="002C11B4"/>
    <w:rsid w:val="002C13C2"/>
    <w:rsid w:val="002C17A8"/>
    <w:rsid w:val="002C17B0"/>
    <w:rsid w:val="002C399A"/>
    <w:rsid w:val="002C4468"/>
    <w:rsid w:val="002C53B0"/>
    <w:rsid w:val="002C5995"/>
    <w:rsid w:val="002C5FB5"/>
    <w:rsid w:val="002C60B7"/>
    <w:rsid w:val="002C6238"/>
    <w:rsid w:val="002C66F1"/>
    <w:rsid w:val="002C6A43"/>
    <w:rsid w:val="002D05B3"/>
    <w:rsid w:val="002D138E"/>
    <w:rsid w:val="002D402C"/>
    <w:rsid w:val="002D45A5"/>
    <w:rsid w:val="002D6FC0"/>
    <w:rsid w:val="002D7022"/>
    <w:rsid w:val="002E02FC"/>
    <w:rsid w:val="002E06F3"/>
    <w:rsid w:val="002E161E"/>
    <w:rsid w:val="002E17DA"/>
    <w:rsid w:val="002E2ACA"/>
    <w:rsid w:val="002E32E1"/>
    <w:rsid w:val="002E33A8"/>
    <w:rsid w:val="002E3B65"/>
    <w:rsid w:val="002E59C7"/>
    <w:rsid w:val="002E7F8D"/>
    <w:rsid w:val="002F24F7"/>
    <w:rsid w:val="002F2D93"/>
    <w:rsid w:val="002F5135"/>
    <w:rsid w:val="002F5BF9"/>
    <w:rsid w:val="002F6A40"/>
    <w:rsid w:val="002F6DDD"/>
    <w:rsid w:val="002F78E5"/>
    <w:rsid w:val="002F7B5B"/>
    <w:rsid w:val="003000DD"/>
    <w:rsid w:val="003002C7"/>
    <w:rsid w:val="00300F2D"/>
    <w:rsid w:val="00301058"/>
    <w:rsid w:val="00303B1E"/>
    <w:rsid w:val="00304321"/>
    <w:rsid w:val="00306870"/>
    <w:rsid w:val="003069D1"/>
    <w:rsid w:val="00307434"/>
    <w:rsid w:val="003141E8"/>
    <w:rsid w:val="00316472"/>
    <w:rsid w:val="00316C44"/>
    <w:rsid w:val="00317B27"/>
    <w:rsid w:val="00317B67"/>
    <w:rsid w:val="00317C84"/>
    <w:rsid w:val="003200BA"/>
    <w:rsid w:val="00320356"/>
    <w:rsid w:val="00322CD1"/>
    <w:rsid w:val="00322FE2"/>
    <w:rsid w:val="00323B94"/>
    <w:rsid w:val="00325028"/>
    <w:rsid w:val="003252ED"/>
    <w:rsid w:val="00325FB2"/>
    <w:rsid w:val="0033239D"/>
    <w:rsid w:val="003327A6"/>
    <w:rsid w:val="00332AB0"/>
    <w:rsid w:val="00334ABA"/>
    <w:rsid w:val="003357E3"/>
    <w:rsid w:val="00336301"/>
    <w:rsid w:val="003418CA"/>
    <w:rsid w:val="00343A71"/>
    <w:rsid w:val="00344F04"/>
    <w:rsid w:val="003467A7"/>
    <w:rsid w:val="00346DFF"/>
    <w:rsid w:val="00347692"/>
    <w:rsid w:val="00351034"/>
    <w:rsid w:val="00352184"/>
    <w:rsid w:val="0035266F"/>
    <w:rsid w:val="00352995"/>
    <w:rsid w:val="00352CC4"/>
    <w:rsid w:val="003536C6"/>
    <w:rsid w:val="003549E1"/>
    <w:rsid w:val="003556DC"/>
    <w:rsid w:val="00356ABA"/>
    <w:rsid w:val="00356F52"/>
    <w:rsid w:val="00357D63"/>
    <w:rsid w:val="00361388"/>
    <w:rsid w:val="003625BA"/>
    <w:rsid w:val="00362EB4"/>
    <w:rsid w:val="0036308F"/>
    <w:rsid w:val="003633D6"/>
    <w:rsid w:val="003634BF"/>
    <w:rsid w:val="00363AAE"/>
    <w:rsid w:val="00363E36"/>
    <w:rsid w:val="00364826"/>
    <w:rsid w:val="00365898"/>
    <w:rsid w:val="00366B7A"/>
    <w:rsid w:val="00367195"/>
    <w:rsid w:val="003677AD"/>
    <w:rsid w:val="003678C0"/>
    <w:rsid w:val="00367B8F"/>
    <w:rsid w:val="00370F14"/>
    <w:rsid w:val="003719C9"/>
    <w:rsid w:val="00373D64"/>
    <w:rsid w:val="00374CA6"/>
    <w:rsid w:val="00376098"/>
    <w:rsid w:val="0037679E"/>
    <w:rsid w:val="00376A18"/>
    <w:rsid w:val="003776D6"/>
    <w:rsid w:val="003806DC"/>
    <w:rsid w:val="003806F2"/>
    <w:rsid w:val="00381B5F"/>
    <w:rsid w:val="00381FFD"/>
    <w:rsid w:val="00382B6C"/>
    <w:rsid w:val="003834EC"/>
    <w:rsid w:val="00383B83"/>
    <w:rsid w:val="003920C1"/>
    <w:rsid w:val="003926BC"/>
    <w:rsid w:val="00392A81"/>
    <w:rsid w:val="00392E5A"/>
    <w:rsid w:val="00394D00"/>
    <w:rsid w:val="003967B5"/>
    <w:rsid w:val="00396A03"/>
    <w:rsid w:val="003A00FA"/>
    <w:rsid w:val="003A0D1D"/>
    <w:rsid w:val="003A2037"/>
    <w:rsid w:val="003A353F"/>
    <w:rsid w:val="003A3870"/>
    <w:rsid w:val="003A4F91"/>
    <w:rsid w:val="003B1576"/>
    <w:rsid w:val="003B18A6"/>
    <w:rsid w:val="003B3496"/>
    <w:rsid w:val="003B55D4"/>
    <w:rsid w:val="003B6AA8"/>
    <w:rsid w:val="003B6F06"/>
    <w:rsid w:val="003B7523"/>
    <w:rsid w:val="003B7E9A"/>
    <w:rsid w:val="003C071C"/>
    <w:rsid w:val="003C08B6"/>
    <w:rsid w:val="003C1D25"/>
    <w:rsid w:val="003C476A"/>
    <w:rsid w:val="003C4770"/>
    <w:rsid w:val="003C4FE7"/>
    <w:rsid w:val="003C5B4A"/>
    <w:rsid w:val="003C665B"/>
    <w:rsid w:val="003C7505"/>
    <w:rsid w:val="003D299A"/>
    <w:rsid w:val="003D50FB"/>
    <w:rsid w:val="003D52F8"/>
    <w:rsid w:val="003D5B5E"/>
    <w:rsid w:val="003D70FB"/>
    <w:rsid w:val="003D7FFB"/>
    <w:rsid w:val="003E0723"/>
    <w:rsid w:val="003E1101"/>
    <w:rsid w:val="003E2536"/>
    <w:rsid w:val="003E2867"/>
    <w:rsid w:val="003E2C80"/>
    <w:rsid w:val="003E34AF"/>
    <w:rsid w:val="003E46AA"/>
    <w:rsid w:val="003E548F"/>
    <w:rsid w:val="003E6028"/>
    <w:rsid w:val="003E64EB"/>
    <w:rsid w:val="003F0563"/>
    <w:rsid w:val="003F098D"/>
    <w:rsid w:val="003F18D9"/>
    <w:rsid w:val="003F1F18"/>
    <w:rsid w:val="003F2069"/>
    <w:rsid w:val="003F2121"/>
    <w:rsid w:val="003F264C"/>
    <w:rsid w:val="003F3C23"/>
    <w:rsid w:val="003F454C"/>
    <w:rsid w:val="003F4A3E"/>
    <w:rsid w:val="003F544E"/>
    <w:rsid w:val="003F5D48"/>
    <w:rsid w:val="003F6229"/>
    <w:rsid w:val="003F6A57"/>
    <w:rsid w:val="003F6A93"/>
    <w:rsid w:val="003F6C58"/>
    <w:rsid w:val="003F7125"/>
    <w:rsid w:val="003F762E"/>
    <w:rsid w:val="00401BC5"/>
    <w:rsid w:val="00401FE8"/>
    <w:rsid w:val="0040266A"/>
    <w:rsid w:val="00402E58"/>
    <w:rsid w:val="004030EB"/>
    <w:rsid w:val="00403709"/>
    <w:rsid w:val="00403CCC"/>
    <w:rsid w:val="0040486E"/>
    <w:rsid w:val="004059B6"/>
    <w:rsid w:val="004059C6"/>
    <w:rsid w:val="00405AD5"/>
    <w:rsid w:val="00405EDA"/>
    <w:rsid w:val="00406596"/>
    <w:rsid w:val="00407F2A"/>
    <w:rsid w:val="004122D9"/>
    <w:rsid w:val="00412635"/>
    <w:rsid w:val="00414356"/>
    <w:rsid w:val="00415DD6"/>
    <w:rsid w:val="00417F3D"/>
    <w:rsid w:val="00420185"/>
    <w:rsid w:val="00421B4E"/>
    <w:rsid w:val="0042332D"/>
    <w:rsid w:val="00423A02"/>
    <w:rsid w:val="0042503E"/>
    <w:rsid w:val="00425618"/>
    <w:rsid w:val="004278C5"/>
    <w:rsid w:val="00430E4D"/>
    <w:rsid w:val="004316BA"/>
    <w:rsid w:val="0043180A"/>
    <w:rsid w:val="00431FB8"/>
    <w:rsid w:val="004323A4"/>
    <w:rsid w:val="00432498"/>
    <w:rsid w:val="00432F4A"/>
    <w:rsid w:val="004332DB"/>
    <w:rsid w:val="004338B9"/>
    <w:rsid w:val="00433DB0"/>
    <w:rsid w:val="004348AE"/>
    <w:rsid w:val="0043785A"/>
    <w:rsid w:val="0043785C"/>
    <w:rsid w:val="004410C1"/>
    <w:rsid w:val="00441266"/>
    <w:rsid w:val="004413E8"/>
    <w:rsid w:val="00443ADC"/>
    <w:rsid w:val="00445143"/>
    <w:rsid w:val="00446AFE"/>
    <w:rsid w:val="00446E9C"/>
    <w:rsid w:val="00447E33"/>
    <w:rsid w:val="00450C59"/>
    <w:rsid w:val="004515B7"/>
    <w:rsid w:val="004524B4"/>
    <w:rsid w:val="0045252C"/>
    <w:rsid w:val="0045473E"/>
    <w:rsid w:val="00455433"/>
    <w:rsid w:val="0045728A"/>
    <w:rsid w:val="00457653"/>
    <w:rsid w:val="00460D3A"/>
    <w:rsid w:val="00460FA3"/>
    <w:rsid w:val="00461539"/>
    <w:rsid w:val="0046375D"/>
    <w:rsid w:val="00464B61"/>
    <w:rsid w:val="00466848"/>
    <w:rsid w:val="00466DA2"/>
    <w:rsid w:val="00466F4A"/>
    <w:rsid w:val="00467A5F"/>
    <w:rsid w:val="0047013E"/>
    <w:rsid w:val="00470337"/>
    <w:rsid w:val="00470E09"/>
    <w:rsid w:val="004713DA"/>
    <w:rsid w:val="0047196B"/>
    <w:rsid w:val="00472293"/>
    <w:rsid w:val="0047278B"/>
    <w:rsid w:val="00472D27"/>
    <w:rsid w:val="00473513"/>
    <w:rsid w:val="00474684"/>
    <w:rsid w:val="00474922"/>
    <w:rsid w:val="0047502B"/>
    <w:rsid w:val="004753E6"/>
    <w:rsid w:val="00475DE6"/>
    <w:rsid w:val="004760BC"/>
    <w:rsid w:val="004763F3"/>
    <w:rsid w:val="00481766"/>
    <w:rsid w:val="004823C8"/>
    <w:rsid w:val="0048374B"/>
    <w:rsid w:val="004878E5"/>
    <w:rsid w:val="00490155"/>
    <w:rsid w:val="00492DD9"/>
    <w:rsid w:val="0049335B"/>
    <w:rsid w:val="00494B47"/>
    <w:rsid w:val="0049648D"/>
    <w:rsid w:val="004970F7"/>
    <w:rsid w:val="00497495"/>
    <w:rsid w:val="004A0388"/>
    <w:rsid w:val="004A16A3"/>
    <w:rsid w:val="004A2985"/>
    <w:rsid w:val="004A4F08"/>
    <w:rsid w:val="004A520C"/>
    <w:rsid w:val="004A55CD"/>
    <w:rsid w:val="004A5796"/>
    <w:rsid w:val="004A710B"/>
    <w:rsid w:val="004A7467"/>
    <w:rsid w:val="004A7A7B"/>
    <w:rsid w:val="004A7AF0"/>
    <w:rsid w:val="004A7BA5"/>
    <w:rsid w:val="004A7DBB"/>
    <w:rsid w:val="004B111F"/>
    <w:rsid w:val="004B199D"/>
    <w:rsid w:val="004B1B54"/>
    <w:rsid w:val="004B2267"/>
    <w:rsid w:val="004B266E"/>
    <w:rsid w:val="004B3DF4"/>
    <w:rsid w:val="004B5708"/>
    <w:rsid w:val="004C014D"/>
    <w:rsid w:val="004C0DD1"/>
    <w:rsid w:val="004C289C"/>
    <w:rsid w:val="004C3C57"/>
    <w:rsid w:val="004C5153"/>
    <w:rsid w:val="004C5664"/>
    <w:rsid w:val="004D03A4"/>
    <w:rsid w:val="004D15FC"/>
    <w:rsid w:val="004D4C8D"/>
    <w:rsid w:val="004D4DFE"/>
    <w:rsid w:val="004D5264"/>
    <w:rsid w:val="004D55BF"/>
    <w:rsid w:val="004D5E7C"/>
    <w:rsid w:val="004E1557"/>
    <w:rsid w:val="004E164C"/>
    <w:rsid w:val="004E2C3D"/>
    <w:rsid w:val="004E6E8E"/>
    <w:rsid w:val="004E77F0"/>
    <w:rsid w:val="004E78FC"/>
    <w:rsid w:val="004F103C"/>
    <w:rsid w:val="004F30C9"/>
    <w:rsid w:val="004F4153"/>
    <w:rsid w:val="004F5FCB"/>
    <w:rsid w:val="004F6186"/>
    <w:rsid w:val="004F708E"/>
    <w:rsid w:val="00500FAF"/>
    <w:rsid w:val="005033F7"/>
    <w:rsid w:val="005036E2"/>
    <w:rsid w:val="00503895"/>
    <w:rsid w:val="00503AD0"/>
    <w:rsid w:val="0050445B"/>
    <w:rsid w:val="00505491"/>
    <w:rsid w:val="00506481"/>
    <w:rsid w:val="00510DC8"/>
    <w:rsid w:val="00511C4C"/>
    <w:rsid w:val="005139E4"/>
    <w:rsid w:val="00513D28"/>
    <w:rsid w:val="00515C07"/>
    <w:rsid w:val="00520F8D"/>
    <w:rsid w:val="0052237C"/>
    <w:rsid w:val="0052437D"/>
    <w:rsid w:val="00524B76"/>
    <w:rsid w:val="00525CB6"/>
    <w:rsid w:val="005265A2"/>
    <w:rsid w:val="0052661E"/>
    <w:rsid w:val="00526C70"/>
    <w:rsid w:val="00527082"/>
    <w:rsid w:val="00531A1E"/>
    <w:rsid w:val="00531D8D"/>
    <w:rsid w:val="005330EA"/>
    <w:rsid w:val="00533A84"/>
    <w:rsid w:val="00534B18"/>
    <w:rsid w:val="00534CB3"/>
    <w:rsid w:val="00537E29"/>
    <w:rsid w:val="00537EC9"/>
    <w:rsid w:val="005404F3"/>
    <w:rsid w:val="00540AF0"/>
    <w:rsid w:val="00541760"/>
    <w:rsid w:val="005424D9"/>
    <w:rsid w:val="005434CE"/>
    <w:rsid w:val="00543CD0"/>
    <w:rsid w:val="005450FC"/>
    <w:rsid w:val="005456A8"/>
    <w:rsid w:val="00545D56"/>
    <w:rsid w:val="005469AC"/>
    <w:rsid w:val="00547007"/>
    <w:rsid w:val="00550556"/>
    <w:rsid w:val="00553E1B"/>
    <w:rsid w:val="0055463B"/>
    <w:rsid w:val="00554F74"/>
    <w:rsid w:val="005609D6"/>
    <w:rsid w:val="00560A4A"/>
    <w:rsid w:val="00561072"/>
    <w:rsid w:val="00562113"/>
    <w:rsid w:val="00563994"/>
    <w:rsid w:val="005649EF"/>
    <w:rsid w:val="00564D3B"/>
    <w:rsid w:val="005725C0"/>
    <w:rsid w:val="00572B96"/>
    <w:rsid w:val="0057319C"/>
    <w:rsid w:val="0057329A"/>
    <w:rsid w:val="005733FC"/>
    <w:rsid w:val="00573D6E"/>
    <w:rsid w:val="00574633"/>
    <w:rsid w:val="00575544"/>
    <w:rsid w:val="005769E2"/>
    <w:rsid w:val="00576B71"/>
    <w:rsid w:val="00581A24"/>
    <w:rsid w:val="00583D6F"/>
    <w:rsid w:val="00584822"/>
    <w:rsid w:val="00584D94"/>
    <w:rsid w:val="00585264"/>
    <w:rsid w:val="00585848"/>
    <w:rsid w:val="00587BB7"/>
    <w:rsid w:val="00587FBD"/>
    <w:rsid w:val="005917DE"/>
    <w:rsid w:val="00591CB2"/>
    <w:rsid w:val="00592859"/>
    <w:rsid w:val="00592EA8"/>
    <w:rsid w:val="005934D6"/>
    <w:rsid w:val="00594106"/>
    <w:rsid w:val="005971F0"/>
    <w:rsid w:val="005A0492"/>
    <w:rsid w:val="005A1402"/>
    <w:rsid w:val="005A3477"/>
    <w:rsid w:val="005A56E5"/>
    <w:rsid w:val="005A783B"/>
    <w:rsid w:val="005B046E"/>
    <w:rsid w:val="005B1575"/>
    <w:rsid w:val="005B20FB"/>
    <w:rsid w:val="005B2BE3"/>
    <w:rsid w:val="005B4344"/>
    <w:rsid w:val="005B512E"/>
    <w:rsid w:val="005B5524"/>
    <w:rsid w:val="005B59A3"/>
    <w:rsid w:val="005B7E12"/>
    <w:rsid w:val="005C0469"/>
    <w:rsid w:val="005C09CE"/>
    <w:rsid w:val="005C0A7C"/>
    <w:rsid w:val="005C11E3"/>
    <w:rsid w:val="005C3EA3"/>
    <w:rsid w:val="005C4B01"/>
    <w:rsid w:val="005C505B"/>
    <w:rsid w:val="005D08DB"/>
    <w:rsid w:val="005D3632"/>
    <w:rsid w:val="005D3815"/>
    <w:rsid w:val="005D4B11"/>
    <w:rsid w:val="005D52E1"/>
    <w:rsid w:val="005D5FB2"/>
    <w:rsid w:val="005D60D7"/>
    <w:rsid w:val="005D6199"/>
    <w:rsid w:val="005D6CEC"/>
    <w:rsid w:val="005E0707"/>
    <w:rsid w:val="005E0916"/>
    <w:rsid w:val="005E0C71"/>
    <w:rsid w:val="005E162F"/>
    <w:rsid w:val="005E1B61"/>
    <w:rsid w:val="005E2214"/>
    <w:rsid w:val="005E2A62"/>
    <w:rsid w:val="005E3C2C"/>
    <w:rsid w:val="005E49D8"/>
    <w:rsid w:val="005E5216"/>
    <w:rsid w:val="005E5581"/>
    <w:rsid w:val="005E5D1A"/>
    <w:rsid w:val="005E5F7D"/>
    <w:rsid w:val="005E637D"/>
    <w:rsid w:val="005E6538"/>
    <w:rsid w:val="005E6D9A"/>
    <w:rsid w:val="005E704F"/>
    <w:rsid w:val="005E7411"/>
    <w:rsid w:val="005F03ED"/>
    <w:rsid w:val="005F07BD"/>
    <w:rsid w:val="005F1417"/>
    <w:rsid w:val="005F20CA"/>
    <w:rsid w:val="005F21FE"/>
    <w:rsid w:val="005F3636"/>
    <w:rsid w:val="005F38F8"/>
    <w:rsid w:val="005F3BC6"/>
    <w:rsid w:val="005F4DBC"/>
    <w:rsid w:val="005F53B5"/>
    <w:rsid w:val="005F612E"/>
    <w:rsid w:val="005F6435"/>
    <w:rsid w:val="005F65CB"/>
    <w:rsid w:val="005F6B54"/>
    <w:rsid w:val="005F7723"/>
    <w:rsid w:val="006012B6"/>
    <w:rsid w:val="0060322B"/>
    <w:rsid w:val="0060531A"/>
    <w:rsid w:val="0060574D"/>
    <w:rsid w:val="006064A2"/>
    <w:rsid w:val="006065E3"/>
    <w:rsid w:val="006066BC"/>
    <w:rsid w:val="006071ED"/>
    <w:rsid w:val="00610316"/>
    <w:rsid w:val="00611063"/>
    <w:rsid w:val="006118A4"/>
    <w:rsid w:val="00612023"/>
    <w:rsid w:val="00612335"/>
    <w:rsid w:val="00612FA3"/>
    <w:rsid w:val="00613AA6"/>
    <w:rsid w:val="00615567"/>
    <w:rsid w:val="00615E8C"/>
    <w:rsid w:val="006162D9"/>
    <w:rsid w:val="006163BF"/>
    <w:rsid w:val="00622227"/>
    <w:rsid w:val="00622DA4"/>
    <w:rsid w:val="00623660"/>
    <w:rsid w:val="0062413B"/>
    <w:rsid w:val="006243EA"/>
    <w:rsid w:val="00625A1F"/>
    <w:rsid w:val="00625F39"/>
    <w:rsid w:val="00630FCD"/>
    <w:rsid w:val="00632447"/>
    <w:rsid w:val="00632522"/>
    <w:rsid w:val="00632B50"/>
    <w:rsid w:val="0063472C"/>
    <w:rsid w:val="00635094"/>
    <w:rsid w:val="00636750"/>
    <w:rsid w:val="0063770D"/>
    <w:rsid w:val="00637CB9"/>
    <w:rsid w:val="00641410"/>
    <w:rsid w:val="006422FD"/>
    <w:rsid w:val="00642967"/>
    <w:rsid w:val="00643715"/>
    <w:rsid w:val="0064470A"/>
    <w:rsid w:val="00645470"/>
    <w:rsid w:val="006458F8"/>
    <w:rsid w:val="00647088"/>
    <w:rsid w:val="006528D6"/>
    <w:rsid w:val="0065298D"/>
    <w:rsid w:val="00652B39"/>
    <w:rsid w:val="00653A34"/>
    <w:rsid w:val="006548BE"/>
    <w:rsid w:val="00656022"/>
    <w:rsid w:val="00656C64"/>
    <w:rsid w:val="00657253"/>
    <w:rsid w:val="00657D8C"/>
    <w:rsid w:val="00660059"/>
    <w:rsid w:val="00660B38"/>
    <w:rsid w:val="00660D48"/>
    <w:rsid w:val="0066155D"/>
    <w:rsid w:val="0066175A"/>
    <w:rsid w:val="00661793"/>
    <w:rsid w:val="00661A3B"/>
    <w:rsid w:val="00662083"/>
    <w:rsid w:val="006637BC"/>
    <w:rsid w:val="00665B60"/>
    <w:rsid w:val="0066728E"/>
    <w:rsid w:val="0067126E"/>
    <w:rsid w:val="00671455"/>
    <w:rsid w:val="006718EB"/>
    <w:rsid w:val="0067199F"/>
    <w:rsid w:val="00671DB5"/>
    <w:rsid w:val="006743F7"/>
    <w:rsid w:val="006750BA"/>
    <w:rsid w:val="006761DE"/>
    <w:rsid w:val="00676D05"/>
    <w:rsid w:val="00676D58"/>
    <w:rsid w:val="00676F19"/>
    <w:rsid w:val="00683B29"/>
    <w:rsid w:val="00684176"/>
    <w:rsid w:val="00686653"/>
    <w:rsid w:val="00686849"/>
    <w:rsid w:val="006903A2"/>
    <w:rsid w:val="006911F0"/>
    <w:rsid w:val="006922DD"/>
    <w:rsid w:val="00694AB4"/>
    <w:rsid w:val="00694AEC"/>
    <w:rsid w:val="0069565A"/>
    <w:rsid w:val="00695A35"/>
    <w:rsid w:val="00697713"/>
    <w:rsid w:val="0069778E"/>
    <w:rsid w:val="00697D45"/>
    <w:rsid w:val="006A27DF"/>
    <w:rsid w:val="006A50CD"/>
    <w:rsid w:val="006B0096"/>
    <w:rsid w:val="006B051F"/>
    <w:rsid w:val="006B2ED7"/>
    <w:rsid w:val="006B34CC"/>
    <w:rsid w:val="006B43FD"/>
    <w:rsid w:val="006B46D5"/>
    <w:rsid w:val="006B5232"/>
    <w:rsid w:val="006B5550"/>
    <w:rsid w:val="006B57DF"/>
    <w:rsid w:val="006B65DA"/>
    <w:rsid w:val="006B6CB8"/>
    <w:rsid w:val="006B7908"/>
    <w:rsid w:val="006B7E93"/>
    <w:rsid w:val="006C27A6"/>
    <w:rsid w:val="006C2C3D"/>
    <w:rsid w:val="006C552E"/>
    <w:rsid w:val="006C565A"/>
    <w:rsid w:val="006C57C8"/>
    <w:rsid w:val="006C70BE"/>
    <w:rsid w:val="006C7F2A"/>
    <w:rsid w:val="006D0153"/>
    <w:rsid w:val="006D087E"/>
    <w:rsid w:val="006D1733"/>
    <w:rsid w:val="006D20BE"/>
    <w:rsid w:val="006D37F8"/>
    <w:rsid w:val="006D3E54"/>
    <w:rsid w:val="006D462B"/>
    <w:rsid w:val="006D4E0B"/>
    <w:rsid w:val="006D6A90"/>
    <w:rsid w:val="006E09FC"/>
    <w:rsid w:val="006E1D5E"/>
    <w:rsid w:val="006E2DB2"/>
    <w:rsid w:val="006E3350"/>
    <w:rsid w:val="006E4342"/>
    <w:rsid w:val="006E598B"/>
    <w:rsid w:val="006E5C15"/>
    <w:rsid w:val="006E612B"/>
    <w:rsid w:val="006E6D91"/>
    <w:rsid w:val="006F0718"/>
    <w:rsid w:val="006F14F9"/>
    <w:rsid w:val="006F1BB5"/>
    <w:rsid w:val="006F1FD2"/>
    <w:rsid w:val="006F2C2D"/>
    <w:rsid w:val="006F4117"/>
    <w:rsid w:val="006F4681"/>
    <w:rsid w:val="006F6BC2"/>
    <w:rsid w:val="0070029A"/>
    <w:rsid w:val="00700A2D"/>
    <w:rsid w:val="00703069"/>
    <w:rsid w:val="0070389F"/>
    <w:rsid w:val="00703A9E"/>
    <w:rsid w:val="00704101"/>
    <w:rsid w:val="00706F33"/>
    <w:rsid w:val="00707742"/>
    <w:rsid w:val="0071177D"/>
    <w:rsid w:val="007117BD"/>
    <w:rsid w:val="00711FA5"/>
    <w:rsid w:val="007126A9"/>
    <w:rsid w:val="007152CB"/>
    <w:rsid w:val="00715FA1"/>
    <w:rsid w:val="00720629"/>
    <w:rsid w:val="007208C4"/>
    <w:rsid w:val="0072108B"/>
    <w:rsid w:val="00722306"/>
    <w:rsid w:val="007306DC"/>
    <w:rsid w:val="0073218A"/>
    <w:rsid w:val="00733184"/>
    <w:rsid w:val="00733483"/>
    <w:rsid w:val="00735973"/>
    <w:rsid w:val="00736078"/>
    <w:rsid w:val="00736EBA"/>
    <w:rsid w:val="00736F51"/>
    <w:rsid w:val="0073737C"/>
    <w:rsid w:val="00737603"/>
    <w:rsid w:val="00740A9A"/>
    <w:rsid w:val="00741184"/>
    <w:rsid w:val="007442A5"/>
    <w:rsid w:val="00745B29"/>
    <w:rsid w:val="00746510"/>
    <w:rsid w:val="00750904"/>
    <w:rsid w:val="00754F48"/>
    <w:rsid w:val="00756E66"/>
    <w:rsid w:val="00757F17"/>
    <w:rsid w:val="0076144F"/>
    <w:rsid w:val="00761EF3"/>
    <w:rsid w:val="007646F3"/>
    <w:rsid w:val="007647DF"/>
    <w:rsid w:val="00764C69"/>
    <w:rsid w:val="00765753"/>
    <w:rsid w:val="00766007"/>
    <w:rsid w:val="00770216"/>
    <w:rsid w:val="00772241"/>
    <w:rsid w:val="007734FE"/>
    <w:rsid w:val="007737F0"/>
    <w:rsid w:val="0077394E"/>
    <w:rsid w:val="00775179"/>
    <w:rsid w:val="0077532B"/>
    <w:rsid w:val="00775D13"/>
    <w:rsid w:val="00776321"/>
    <w:rsid w:val="00776853"/>
    <w:rsid w:val="007776BD"/>
    <w:rsid w:val="00777E01"/>
    <w:rsid w:val="007805E2"/>
    <w:rsid w:val="00780BF9"/>
    <w:rsid w:val="007810CA"/>
    <w:rsid w:val="007816A2"/>
    <w:rsid w:val="00781D06"/>
    <w:rsid w:val="007826D7"/>
    <w:rsid w:val="007834C4"/>
    <w:rsid w:val="00784746"/>
    <w:rsid w:val="00785A02"/>
    <w:rsid w:val="007869E8"/>
    <w:rsid w:val="00786A27"/>
    <w:rsid w:val="00786D2D"/>
    <w:rsid w:val="0078718D"/>
    <w:rsid w:val="007876E8"/>
    <w:rsid w:val="00790CC2"/>
    <w:rsid w:val="0079211F"/>
    <w:rsid w:val="0079331E"/>
    <w:rsid w:val="0079347B"/>
    <w:rsid w:val="00793C94"/>
    <w:rsid w:val="00794383"/>
    <w:rsid w:val="00796606"/>
    <w:rsid w:val="00796968"/>
    <w:rsid w:val="007969C2"/>
    <w:rsid w:val="00796E6A"/>
    <w:rsid w:val="00796FF6"/>
    <w:rsid w:val="00797C06"/>
    <w:rsid w:val="007A0E21"/>
    <w:rsid w:val="007A1470"/>
    <w:rsid w:val="007A39EF"/>
    <w:rsid w:val="007A464B"/>
    <w:rsid w:val="007A6AE7"/>
    <w:rsid w:val="007B059D"/>
    <w:rsid w:val="007B1B9E"/>
    <w:rsid w:val="007B2927"/>
    <w:rsid w:val="007B5675"/>
    <w:rsid w:val="007B5A7D"/>
    <w:rsid w:val="007B5DFE"/>
    <w:rsid w:val="007B5F5A"/>
    <w:rsid w:val="007B71D0"/>
    <w:rsid w:val="007B7A09"/>
    <w:rsid w:val="007C14E3"/>
    <w:rsid w:val="007C37F7"/>
    <w:rsid w:val="007C4548"/>
    <w:rsid w:val="007C5592"/>
    <w:rsid w:val="007C5646"/>
    <w:rsid w:val="007C71C3"/>
    <w:rsid w:val="007D09E3"/>
    <w:rsid w:val="007D2F2B"/>
    <w:rsid w:val="007D5303"/>
    <w:rsid w:val="007D5CB0"/>
    <w:rsid w:val="007D62FA"/>
    <w:rsid w:val="007D6971"/>
    <w:rsid w:val="007D6B55"/>
    <w:rsid w:val="007E00B2"/>
    <w:rsid w:val="007E027F"/>
    <w:rsid w:val="007E1E64"/>
    <w:rsid w:val="007E2066"/>
    <w:rsid w:val="007E2B83"/>
    <w:rsid w:val="007E3790"/>
    <w:rsid w:val="007E4F46"/>
    <w:rsid w:val="007E5913"/>
    <w:rsid w:val="007F00C7"/>
    <w:rsid w:val="007F0684"/>
    <w:rsid w:val="007F31F6"/>
    <w:rsid w:val="007F4271"/>
    <w:rsid w:val="007F517B"/>
    <w:rsid w:val="007F74AA"/>
    <w:rsid w:val="007F74C6"/>
    <w:rsid w:val="007F7DDF"/>
    <w:rsid w:val="007F7FBB"/>
    <w:rsid w:val="008000AA"/>
    <w:rsid w:val="00800351"/>
    <w:rsid w:val="00800F66"/>
    <w:rsid w:val="008017F0"/>
    <w:rsid w:val="0080233E"/>
    <w:rsid w:val="008026BB"/>
    <w:rsid w:val="00802817"/>
    <w:rsid w:val="00803E3B"/>
    <w:rsid w:val="008053EF"/>
    <w:rsid w:val="00805B84"/>
    <w:rsid w:val="00806C6F"/>
    <w:rsid w:val="00810302"/>
    <w:rsid w:val="008106D0"/>
    <w:rsid w:val="00811A15"/>
    <w:rsid w:val="00812690"/>
    <w:rsid w:val="008144DF"/>
    <w:rsid w:val="00823247"/>
    <w:rsid w:val="008234D1"/>
    <w:rsid w:val="00823EF9"/>
    <w:rsid w:val="00825CBE"/>
    <w:rsid w:val="00825FA7"/>
    <w:rsid w:val="00826000"/>
    <w:rsid w:val="008267A9"/>
    <w:rsid w:val="00827C3E"/>
    <w:rsid w:val="00830F99"/>
    <w:rsid w:val="00831420"/>
    <w:rsid w:val="0083249C"/>
    <w:rsid w:val="008331C9"/>
    <w:rsid w:val="008342DD"/>
    <w:rsid w:val="008352D2"/>
    <w:rsid w:val="0083596A"/>
    <w:rsid w:val="00841241"/>
    <w:rsid w:val="00841951"/>
    <w:rsid w:val="00841B9F"/>
    <w:rsid w:val="00841DE6"/>
    <w:rsid w:val="008435A0"/>
    <w:rsid w:val="0084380D"/>
    <w:rsid w:val="008449DF"/>
    <w:rsid w:val="0084566D"/>
    <w:rsid w:val="00846664"/>
    <w:rsid w:val="00846F12"/>
    <w:rsid w:val="008477A7"/>
    <w:rsid w:val="00851C3C"/>
    <w:rsid w:val="00852DE8"/>
    <w:rsid w:val="00853703"/>
    <w:rsid w:val="00853C2B"/>
    <w:rsid w:val="00854678"/>
    <w:rsid w:val="0085614F"/>
    <w:rsid w:val="00856AA3"/>
    <w:rsid w:val="008575AD"/>
    <w:rsid w:val="00861645"/>
    <w:rsid w:val="0086365F"/>
    <w:rsid w:val="00864863"/>
    <w:rsid w:val="008655BB"/>
    <w:rsid w:val="0086797F"/>
    <w:rsid w:val="00867B81"/>
    <w:rsid w:val="00867C4C"/>
    <w:rsid w:val="008704FD"/>
    <w:rsid w:val="00870D6B"/>
    <w:rsid w:val="00870EA7"/>
    <w:rsid w:val="008719A7"/>
    <w:rsid w:val="00871B88"/>
    <w:rsid w:val="008731F9"/>
    <w:rsid w:val="00876108"/>
    <w:rsid w:val="0087636C"/>
    <w:rsid w:val="008831B7"/>
    <w:rsid w:val="00886893"/>
    <w:rsid w:val="00890A95"/>
    <w:rsid w:val="00890C6E"/>
    <w:rsid w:val="00891017"/>
    <w:rsid w:val="00891D6E"/>
    <w:rsid w:val="00892CA5"/>
    <w:rsid w:val="008931C9"/>
    <w:rsid w:val="0089427B"/>
    <w:rsid w:val="00895287"/>
    <w:rsid w:val="008A2062"/>
    <w:rsid w:val="008A2089"/>
    <w:rsid w:val="008A40BF"/>
    <w:rsid w:val="008A4C94"/>
    <w:rsid w:val="008A7B6C"/>
    <w:rsid w:val="008A7F97"/>
    <w:rsid w:val="008B1BFF"/>
    <w:rsid w:val="008B1C00"/>
    <w:rsid w:val="008B2DB6"/>
    <w:rsid w:val="008B3046"/>
    <w:rsid w:val="008B4775"/>
    <w:rsid w:val="008B58C8"/>
    <w:rsid w:val="008B7420"/>
    <w:rsid w:val="008B76EB"/>
    <w:rsid w:val="008C0EBD"/>
    <w:rsid w:val="008C11B1"/>
    <w:rsid w:val="008C1464"/>
    <w:rsid w:val="008C4D51"/>
    <w:rsid w:val="008C5375"/>
    <w:rsid w:val="008C5D0B"/>
    <w:rsid w:val="008C6C42"/>
    <w:rsid w:val="008D5344"/>
    <w:rsid w:val="008D75F3"/>
    <w:rsid w:val="008E132D"/>
    <w:rsid w:val="008E5C53"/>
    <w:rsid w:val="008E697F"/>
    <w:rsid w:val="008E6CD9"/>
    <w:rsid w:val="008F1DCB"/>
    <w:rsid w:val="008F38B1"/>
    <w:rsid w:val="008F3A53"/>
    <w:rsid w:val="008F3DF8"/>
    <w:rsid w:val="008F4CB5"/>
    <w:rsid w:val="008F4D46"/>
    <w:rsid w:val="008F5516"/>
    <w:rsid w:val="008F6B6A"/>
    <w:rsid w:val="008F6C93"/>
    <w:rsid w:val="00900122"/>
    <w:rsid w:val="00900244"/>
    <w:rsid w:val="00901ED7"/>
    <w:rsid w:val="00904329"/>
    <w:rsid w:val="00905F1D"/>
    <w:rsid w:val="0090633B"/>
    <w:rsid w:val="0090647A"/>
    <w:rsid w:val="00906974"/>
    <w:rsid w:val="00906B4A"/>
    <w:rsid w:val="00906B79"/>
    <w:rsid w:val="00912EBE"/>
    <w:rsid w:val="0091322A"/>
    <w:rsid w:val="00913C16"/>
    <w:rsid w:val="00921B37"/>
    <w:rsid w:val="00922989"/>
    <w:rsid w:val="0092309F"/>
    <w:rsid w:val="00923AF0"/>
    <w:rsid w:val="00923F75"/>
    <w:rsid w:val="009249D8"/>
    <w:rsid w:val="00924ABA"/>
    <w:rsid w:val="00924DAD"/>
    <w:rsid w:val="00926D3F"/>
    <w:rsid w:val="0092720B"/>
    <w:rsid w:val="0092754F"/>
    <w:rsid w:val="00932DEB"/>
    <w:rsid w:val="00933978"/>
    <w:rsid w:val="00933E60"/>
    <w:rsid w:val="009366D4"/>
    <w:rsid w:val="009374A8"/>
    <w:rsid w:val="009406D2"/>
    <w:rsid w:val="0094123E"/>
    <w:rsid w:val="00941680"/>
    <w:rsid w:val="00943B19"/>
    <w:rsid w:val="00945793"/>
    <w:rsid w:val="00950501"/>
    <w:rsid w:val="00950A25"/>
    <w:rsid w:val="00950BDE"/>
    <w:rsid w:val="00953840"/>
    <w:rsid w:val="00953C76"/>
    <w:rsid w:val="00954621"/>
    <w:rsid w:val="00956B08"/>
    <w:rsid w:val="0095729A"/>
    <w:rsid w:val="00957E96"/>
    <w:rsid w:val="00961C8E"/>
    <w:rsid w:val="009624FE"/>
    <w:rsid w:val="009631B1"/>
    <w:rsid w:val="009640DF"/>
    <w:rsid w:val="00964790"/>
    <w:rsid w:val="0096555D"/>
    <w:rsid w:val="00965625"/>
    <w:rsid w:val="00965B10"/>
    <w:rsid w:val="0096760B"/>
    <w:rsid w:val="00973B22"/>
    <w:rsid w:val="0097408D"/>
    <w:rsid w:val="009746B7"/>
    <w:rsid w:val="00975BAB"/>
    <w:rsid w:val="009762F9"/>
    <w:rsid w:val="0097663D"/>
    <w:rsid w:val="00983C8B"/>
    <w:rsid w:val="00987D40"/>
    <w:rsid w:val="00987F5C"/>
    <w:rsid w:val="00992F80"/>
    <w:rsid w:val="009934F7"/>
    <w:rsid w:val="00993A79"/>
    <w:rsid w:val="00995136"/>
    <w:rsid w:val="00996FD0"/>
    <w:rsid w:val="009970F2"/>
    <w:rsid w:val="009A16D0"/>
    <w:rsid w:val="009A1704"/>
    <w:rsid w:val="009A2528"/>
    <w:rsid w:val="009A25CD"/>
    <w:rsid w:val="009A2B6F"/>
    <w:rsid w:val="009A4FCB"/>
    <w:rsid w:val="009A7A83"/>
    <w:rsid w:val="009B0D71"/>
    <w:rsid w:val="009B3524"/>
    <w:rsid w:val="009B587D"/>
    <w:rsid w:val="009B60DA"/>
    <w:rsid w:val="009B695E"/>
    <w:rsid w:val="009C096E"/>
    <w:rsid w:val="009C224C"/>
    <w:rsid w:val="009C240C"/>
    <w:rsid w:val="009C25D2"/>
    <w:rsid w:val="009C418B"/>
    <w:rsid w:val="009C4D1A"/>
    <w:rsid w:val="009C4E20"/>
    <w:rsid w:val="009C663E"/>
    <w:rsid w:val="009C6AC5"/>
    <w:rsid w:val="009D00F7"/>
    <w:rsid w:val="009D2C27"/>
    <w:rsid w:val="009D39CE"/>
    <w:rsid w:val="009D3AB7"/>
    <w:rsid w:val="009D3D8E"/>
    <w:rsid w:val="009D3E81"/>
    <w:rsid w:val="009D440B"/>
    <w:rsid w:val="009D473B"/>
    <w:rsid w:val="009D628F"/>
    <w:rsid w:val="009D663E"/>
    <w:rsid w:val="009D74BA"/>
    <w:rsid w:val="009E0105"/>
    <w:rsid w:val="009E1723"/>
    <w:rsid w:val="009E19ED"/>
    <w:rsid w:val="009E1AA1"/>
    <w:rsid w:val="009E28F9"/>
    <w:rsid w:val="009E2B88"/>
    <w:rsid w:val="009E41A0"/>
    <w:rsid w:val="009E46B9"/>
    <w:rsid w:val="009E5304"/>
    <w:rsid w:val="009E745B"/>
    <w:rsid w:val="009E7F5D"/>
    <w:rsid w:val="009F070A"/>
    <w:rsid w:val="009F0914"/>
    <w:rsid w:val="009F0C9F"/>
    <w:rsid w:val="009F2058"/>
    <w:rsid w:val="009F34F6"/>
    <w:rsid w:val="009F3C9E"/>
    <w:rsid w:val="009F4575"/>
    <w:rsid w:val="009F61CC"/>
    <w:rsid w:val="009F7631"/>
    <w:rsid w:val="009F7E2A"/>
    <w:rsid w:val="00A00AE8"/>
    <w:rsid w:val="00A04603"/>
    <w:rsid w:val="00A0535F"/>
    <w:rsid w:val="00A05D5C"/>
    <w:rsid w:val="00A063CE"/>
    <w:rsid w:val="00A074C1"/>
    <w:rsid w:val="00A07B59"/>
    <w:rsid w:val="00A10545"/>
    <w:rsid w:val="00A10A5C"/>
    <w:rsid w:val="00A12769"/>
    <w:rsid w:val="00A13676"/>
    <w:rsid w:val="00A1436B"/>
    <w:rsid w:val="00A147C6"/>
    <w:rsid w:val="00A150A3"/>
    <w:rsid w:val="00A15878"/>
    <w:rsid w:val="00A202FA"/>
    <w:rsid w:val="00A204B3"/>
    <w:rsid w:val="00A21CD6"/>
    <w:rsid w:val="00A22306"/>
    <w:rsid w:val="00A2281A"/>
    <w:rsid w:val="00A24BB9"/>
    <w:rsid w:val="00A24D2C"/>
    <w:rsid w:val="00A250D0"/>
    <w:rsid w:val="00A263B5"/>
    <w:rsid w:val="00A26D34"/>
    <w:rsid w:val="00A272D8"/>
    <w:rsid w:val="00A27E99"/>
    <w:rsid w:val="00A27EB8"/>
    <w:rsid w:val="00A30133"/>
    <w:rsid w:val="00A32B43"/>
    <w:rsid w:val="00A35DE7"/>
    <w:rsid w:val="00A3610F"/>
    <w:rsid w:val="00A36C32"/>
    <w:rsid w:val="00A37146"/>
    <w:rsid w:val="00A42912"/>
    <w:rsid w:val="00A429CD"/>
    <w:rsid w:val="00A43350"/>
    <w:rsid w:val="00A43495"/>
    <w:rsid w:val="00A44E70"/>
    <w:rsid w:val="00A44FE7"/>
    <w:rsid w:val="00A4537F"/>
    <w:rsid w:val="00A46089"/>
    <w:rsid w:val="00A4646D"/>
    <w:rsid w:val="00A476A1"/>
    <w:rsid w:val="00A507EA"/>
    <w:rsid w:val="00A51F8C"/>
    <w:rsid w:val="00A53AE6"/>
    <w:rsid w:val="00A54A0B"/>
    <w:rsid w:val="00A5553A"/>
    <w:rsid w:val="00A56611"/>
    <w:rsid w:val="00A616CC"/>
    <w:rsid w:val="00A62C30"/>
    <w:rsid w:val="00A6336C"/>
    <w:rsid w:val="00A6382B"/>
    <w:rsid w:val="00A63B38"/>
    <w:rsid w:val="00A63D19"/>
    <w:rsid w:val="00A64D0A"/>
    <w:rsid w:val="00A67156"/>
    <w:rsid w:val="00A67C2E"/>
    <w:rsid w:val="00A71A19"/>
    <w:rsid w:val="00A7289A"/>
    <w:rsid w:val="00A73D4E"/>
    <w:rsid w:val="00A75F3C"/>
    <w:rsid w:val="00A82755"/>
    <w:rsid w:val="00A82E04"/>
    <w:rsid w:val="00A83D35"/>
    <w:rsid w:val="00A870C6"/>
    <w:rsid w:val="00A9009A"/>
    <w:rsid w:val="00A900FD"/>
    <w:rsid w:val="00A90A31"/>
    <w:rsid w:val="00A94A6A"/>
    <w:rsid w:val="00A94CDE"/>
    <w:rsid w:val="00A96027"/>
    <w:rsid w:val="00A96051"/>
    <w:rsid w:val="00A96311"/>
    <w:rsid w:val="00A966AD"/>
    <w:rsid w:val="00A96A92"/>
    <w:rsid w:val="00A96E04"/>
    <w:rsid w:val="00A9717C"/>
    <w:rsid w:val="00A9765B"/>
    <w:rsid w:val="00A97E1A"/>
    <w:rsid w:val="00A97E49"/>
    <w:rsid w:val="00AA0E44"/>
    <w:rsid w:val="00AA1B46"/>
    <w:rsid w:val="00AA2147"/>
    <w:rsid w:val="00AA3061"/>
    <w:rsid w:val="00AA3D59"/>
    <w:rsid w:val="00AA4E28"/>
    <w:rsid w:val="00AA579A"/>
    <w:rsid w:val="00AA58D5"/>
    <w:rsid w:val="00AA591A"/>
    <w:rsid w:val="00AA6629"/>
    <w:rsid w:val="00AA6E98"/>
    <w:rsid w:val="00AA7414"/>
    <w:rsid w:val="00AB0E94"/>
    <w:rsid w:val="00AB1D60"/>
    <w:rsid w:val="00AB24D7"/>
    <w:rsid w:val="00AB2645"/>
    <w:rsid w:val="00AB3D7C"/>
    <w:rsid w:val="00AB424A"/>
    <w:rsid w:val="00AB4256"/>
    <w:rsid w:val="00AB4B43"/>
    <w:rsid w:val="00AB51CB"/>
    <w:rsid w:val="00AB6C5C"/>
    <w:rsid w:val="00AB713E"/>
    <w:rsid w:val="00AB7252"/>
    <w:rsid w:val="00AB73CB"/>
    <w:rsid w:val="00AC2EAB"/>
    <w:rsid w:val="00AC4A37"/>
    <w:rsid w:val="00AC67A9"/>
    <w:rsid w:val="00AC7011"/>
    <w:rsid w:val="00AD08D3"/>
    <w:rsid w:val="00AD106A"/>
    <w:rsid w:val="00AD1184"/>
    <w:rsid w:val="00AD2C4C"/>
    <w:rsid w:val="00AD3E0A"/>
    <w:rsid w:val="00AD551B"/>
    <w:rsid w:val="00AD5723"/>
    <w:rsid w:val="00AD581C"/>
    <w:rsid w:val="00AE0915"/>
    <w:rsid w:val="00AE1615"/>
    <w:rsid w:val="00AE27AD"/>
    <w:rsid w:val="00AE48DF"/>
    <w:rsid w:val="00AE573D"/>
    <w:rsid w:val="00AE5F2B"/>
    <w:rsid w:val="00AE7083"/>
    <w:rsid w:val="00AF0418"/>
    <w:rsid w:val="00AF0691"/>
    <w:rsid w:val="00AF0995"/>
    <w:rsid w:val="00AF0F7D"/>
    <w:rsid w:val="00AF1232"/>
    <w:rsid w:val="00AF1DC9"/>
    <w:rsid w:val="00AF2A39"/>
    <w:rsid w:val="00AF3165"/>
    <w:rsid w:val="00AF439D"/>
    <w:rsid w:val="00AF60BA"/>
    <w:rsid w:val="00AF7046"/>
    <w:rsid w:val="00AF7160"/>
    <w:rsid w:val="00AF7738"/>
    <w:rsid w:val="00AF774C"/>
    <w:rsid w:val="00AF7776"/>
    <w:rsid w:val="00B003D5"/>
    <w:rsid w:val="00B062FE"/>
    <w:rsid w:val="00B07C05"/>
    <w:rsid w:val="00B10EA9"/>
    <w:rsid w:val="00B118DE"/>
    <w:rsid w:val="00B13FCC"/>
    <w:rsid w:val="00B15AAC"/>
    <w:rsid w:val="00B165D0"/>
    <w:rsid w:val="00B1754F"/>
    <w:rsid w:val="00B17F96"/>
    <w:rsid w:val="00B22043"/>
    <w:rsid w:val="00B224BA"/>
    <w:rsid w:val="00B24655"/>
    <w:rsid w:val="00B25655"/>
    <w:rsid w:val="00B256E5"/>
    <w:rsid w:val="00B25D24"/>
    <w:rsid w:val="00B2693E"/>
    <w:rsid w:val="00B3053D"/>
    <w:rsid w:val="00B3135F"/>
    <w:rsid w:val="00B33C1C"/>
    <w:rsid w:val="00B34080"/>
    <w:rsid w:val="00B37A50"/>
    <w:rsid w:val="00B37DAA"/>
    <w:rsid w:val="00B40280"/>
    <w:rsid w:val="00B410F4"/>
    <w:rsid w:val="00B43079"/>
    <w:rsid w:val="00B44278"/>
    <w:rsid w:val="00B44B16"/>
    <w:rsid w:val="00B458BF"/>
    <w:rsid w:val="00B46EAD"/>
    <w:rsid w:val="00B50017"/>
    <w:rsid w:val="00B50CFE"/>
    <w:rsid w:val="00B51C00"/>
    <w:rsid w:val="00B520C0"/>
    <w:rsid w:val="00B52E18"/>
    <w:rsid w:val="00B531DC"/>
    <w:rsid w:val="00B537DF"/>
    <w:rsid w:val="00B53A27"/>
    <w:rsid w:val="00B53EFD"/>
    <w:rsid w:val="00B5613A"/>
    <w:rsid w:val="00B56691"/>
    <w:rsid w:val="00B60A7B"/>
    <w:rsid w:val="00B62C65"/>
    <w:rsid w:val="00B62EE8"/>
    <w:rsid w:val="00B6327F"/>
    <w:rsid w:val="00B6353A"/>
    <w:rsid w:val="00B63F03"/>
    <w:rsid w:val="00B64AE2"/>
    <w:rsid w:val="00B654CE"/>
    <w:rsid w:val="00B66FEE"/>
    <w:rsid w:val="00B675BF"/>
    <w:rsid w:val="00B676C5"/>
    <w:rsid w:val="00B67A93"/>
    <w:rsid w:val="00B67E54"/>
    <w:rsid w:val="00B70352"/>
    <w:rsid w:val="00B7235B"/>
    <w:rsid w:val="00B821DE"/>
    <w:rsid w:val="00B83AEA"/>
    <w:rsid w:val="00B83CEA"/>
    <w:rsid w:val="00B84667"/>
    <w:rsid w:val="00B849ED"/>
    <w:rsid w:val="00B85922"/>
    <w:rsid w:val="00B85D31"/>
    <w:rsid w:val="00B8640F"/>
    <w:rsid w:val="00B8672F"/>
    <w:rsid w:val="00B8676F"/>
    <w:rsid w:val="00B86B21"/>
    <w:rsid w:val="00B86E48"/>
    <w:rsid w:val="00B87459"/>
    <w:rsid w:val="00B87ECE"/>
    <w:rsid w:val="00B90B84"/>
    <w:rsid w:val="00B90C60"/>
    <w:rsid w:val="00B917FD"/>
    <w:rsid w:val="00B92416"/>
    <w:rsid w:val="00B95A1F"/>
    <w:rsid w:val="00B972FC"/>
    <w:rsid w:val="00B97BB9"/>
    <w:rsid w:val="00BA14D3"/>
    <w:rsid w:val="00BA1F1B"/>
    <w:rsid w:val="00BA3135"/>
    <w:rsid w:val="00BA3152"/>
    <w:rsid w:val="00BA3964"/>
    <w:rsid w:val="00BA4CF7"/>
    <w:rsid w:val="00BA50EE"/>
    <w:rsid w:val="00BA5C12"/>
    <w:rsid w:val="00BA5EAB"/>
    <w:rsid w:val="00BA694A"/>
    <w:rsid w:val="00BA71EE"/>
    <w:rsid w:val="00BB0423"/>
    <w:rsid w:val="00BB1029"/>
    <w:rsid w:val="00BB1801"/>
    <w:rsid w:val="00BB363F"/>
    <w:rsid w:val="00BB3B9D"/>
    <w:rsid w:val="00BB3DD9"/>
    <w:rsid w:val="00BB4D86"/>
    <w:rsid w:val="00BB61B8"/>
    <w:rsid w:val="00BB6F1A"/>
    <w:rsid w:val="00BC17B6"/>
    <w:rsid w:val="00BC1906"/>
    <w:rsid w:val="00BC238D"/>
    <w:rsid w:val="00BC2B2D"/>
    <w:rsid w:val="00BC4407"/>
    <w:rsid w:val="00BC575D"/>
    <w:rsid w:val="00BC60D4"/>
    <w:rsid w:val="00BC6A8B"/>
    <w:rsid w:val="00BC71E1"/>
    <w:rsid w:val="00BC7AD0"/>
    <w:rsid w:val="00BD27FA"/>
    <w:rsid w:val="00BD3974"/>
    <w:rsid w:val="00BD3EA4"/>
    <w:rsid w:val="00BD4B26"/>
    <w:rsid w:val="00BD4F10"/>
    <w:rsid w:val="00BD5EF6"/>
    <w:rsid w:val="00BD76BF"/>
    <w:rsid w:val="00BE2080"/>
    <w:rsid w:val="00BE4834"/>
    <w:rsid w:val="00BE5ED2"/>
    <w:rsid w:val="00BE7E9B"/>
    <w:rsid w:val="00BF3752"/>
    <w:rsid w:val="00BF4601"/>
    <w:rsid w:val="00BF6211"/>
    <w:rsid w:val="00C01494"/>
    <w:rsid w:val="00C03A83"/>
    <w:rsid w:val="00C03AC3"/>
    <w:rsid w:val="00C04224"/>
    <w:rsid w:val="00C06529"/>
    <w:rsid w:val="00C132DD"/>
    <w:rsid w:val="00C13BD1"/>
    <w:rsid w:val="00C14CF9"/>
    <w:rsid w:val="00C15E0A"/>
    <w:rsid w:val="00C160BE"/>
    <w:rsid w:val="00C209AA"/>
    <w:rsid w:val="00C232BB"/>
    <w:rsid w:val="00C253DD"/>
    <w:rsid w:val="00C26939"/>
    <w:rsid w:val="00C27058"/>
    <w:rsid w:val="00C27BA3"/>
    <w:rsid w:val="00C321CD"/>
    <w:rsid w:val="00C326D6"/>
    <w:rsid w:val="00C340B1"/>
    <w:rsid w:val="00C34524"/>
    <w:rsid w:val="00C34805"/>
    <w:rsid w:val="00C34F5C"/>
    <w:rsid w:val="00C369F0"/>
    <w:rsid w:val="00C40FD5"/>
    <w:rsid w:val="00C4104C"/>
    <w:rsid w:val="00C43203"/>
    <w:rsid w:val="00C442E6"/>
    <w:rsid w:val="00C44C0A"/>
    <w:rsid w:val="00C479E2"/>
    <w:rsid w:val="00C50120"/>
    <w:rsid w:val="00C5104F"/>
    <w:rsid w:val="00C510EB"/>
    <w:rsid w:val="00C51B9F"/>
    <w:rsid w:val="00C52322"/>
    <w:rsid w:val="00C52CAD"/>
    <w:rsid w:val="00C52E01"/>
    <w:rsid w:val="00C52E85"/>
    <w:rsid w:val="00C52F28"/>
    <w:rsid w:val="00C56317"/>
    <w:rsid w:val="00C57385"/>
    <w:rsid w:val="00C575E6"/>
    <w:rsid w:val="00C604D6"/>
    <w:rsid w:val="00C60D3B"/>
    <w:rsid w:val="00C60DD2"/>
    <w:rsid w:val="00C615DC"/>
    <w:rsid w:val="00C62A47"/>
    <w:rsid w:val="00C62A9E"/>
    <w:rsid w:val="00C6309E"/>
    <w:rsid w:val="00C63B55"/>
    <w:rsid w:val="00C6585F"/>
    <w:rsid w:val="00C6636F"/>
    <w:rsid w:val="00C66733"/>
    <w:rsid w:val="00C66CA9"/>
    <w:rsid w:val="00C67024"/>
    <w:rsid w:val="00C67933"/>
    <w:rsid w:val="00C70F94"/>
    <w:rsid w:val="00C71AC9"/>
    <w:rsid w:val="00C73A9E"/>
    <w:rsid w:val="00C752CA"/>
    <w:rsid w:val="00C75681"/>
    <w:rsid w:val="00C7751A"/>
    <w:rsid w:val="00C777FD"/>
    <w:rsid w:val="00C80B2B"/>
    <w:rsid w:val="00C80FE1"/>
    <w:rsid w:val="00C815CB"/>
    <w:rsid w:val="00C815CF"/>
    <w:rsid w:val="00C844C9"/>
    <w:rsid w:val="00C87157"/>
    <w:rsid w:val="00C8787F"/>
    <w:rsid w:val="00C87A5A"/>
    <w:rsid w:val="00C90DEB"/>
    <w:rsid w:val="00C92AB0"/>
    <w:rsid w:val="00C93046"/>
    <w:rsid w:val="00C96714"/>
    <w:rsid w:val="00CA0048"/>
    <w:rsid w:val="00CA0DEE"/>
    <w:rsid w:val="00CA18FC"/>
    <w:rsid w:val="00CA28C0"/>
    <w:rsid w:val="00CA293F"/>
    <w:rsid w:val="00CA5927"/>
    <w:rsid w:val="00CB004D"/>
    <w:rsid w:val="00CB0D52"/>
    <w:rsid w:val="00CB1801"/>
    <w:rsid w:val="00CB21FD"/>
    <w:rsid w:val="00CB3654"/>
    <w:rsid w:val="00CB388A"/>
    <w:rsid w:val="00CB471C"/>
    <w:rsid w:val="00CB5DBD"/>
    <w:rsid w:val="00CB60D2"/>
    <w:rsid w:val="00CB6116"/>
    <w:rsid w:val="00CB6D42"/>
    <w:rsid w:val="00CB7BA7"/>
    <w:rsid w:val="00CC26FB"/>
    <w:rsid w:val="00CC2D50"/>
    <w:rsid w:val="00CC2ED8"/>
    <w:rsid w:val="00CC4E57"/>
    <w:rsid w:val="00CC50FA"/>
    <w:rsid w:val="00CC60FD"/>
    <w:rsid w:val="00CC660B"/>
    <w:rsid w:val="00CD05ED"/>
    <w:rsid w:val="00CD0879"/>
    <w:rsid w:val="00CD1D29"/>
    <w:rsid w:val="00CD24DB"/>
    <w:rsid w:val="00CD2CEA"/>
    <w:rsid w:val="00CD37DA"/>
    <w:rsid w:val="00CD490A"/>
    <w:rsid w:val="00CD5AED"/>
    <w:rsid w:val="00CD5F97"/>
    <w:rsid w:val="00CE03C5"/>
    <w:rsid w:val="00CE1B80"/>
    <w:rsid w:val="00CE37DB"/>
    <w:rsid w:val="00CE3891"/>
    <w:rsid w:val="00CE39CE"/>
    <w:rsid w:val="00CE45C4"/>
    <w:rsid w:val="00CE5026"/>
    <w:rsid w:val="00CE678C"/>
    <w:rsid w:val="00CE6B02"/>
    <w:rsid w:val="00CE7776"/>
    <w:rsid w:val="00CF07AF"/>
    <w:rsid w:val="00CF2B2D"/>
    <w:rsid w:val="00CF2C7D"/>
    <w:rsid w:val="00CF36EA"/>
    <w:rsid w:val="00CF39F5"/>
    <w:rsid w:val="00CF5016"/>
    <w:rsid w:val="00CF5699"/>
    <w:rsid w:val="00CF5719"/>
    <w:rsid w:val="00CF6860"/>
    <w:rsid w:val="00D0276D"/>
    <w:rsid w:val="00D02B66"/>
    <w:rsid w:val="00D03013"/>
    <w:rsid w:val="00D04D05"/>
    <w:rsid w:val="00D05A81"/>
    <w:rsid w:val="00D065F2"/>
    <w:rsid w:val="00D066AB"/>
    <w:rsid w:val="00D06958"/>
    <w:rsid w:val="00D10277"/>
    <w:rsid w:val="00D11471"/>
    <w:rsid w:val="00D1180B"/>
    <w:rsid w:val="00D11E4A"/>
    <w:rsid w:val="00D12481"/>
    <w:rsid w:val="00D1351E"/>
    <w:rsid w:val="00D14C46"/>
    <w:rsid w:val="00D15E0C"/>
    <w:rsid w:val="00D1712C"/>
    <w:rsid w:val="00D2248B"/>
    <w:rsid w:val="00D25C1B"/>
    <w:rsid w:val="00D26FE3"/>
    <w:rsid w:val="00D30D4F"/>
    <w:rsid w:val="00D33503"/>
    <w:rsid w:val="00D3473C"/>
    <w:rsid w:val="00D36842"/>
    <w:rsid w:val="00D36F25"/>
    <w:rsid w:val="00D40ABC"/>
    <w:rsid w:val="00D43BDB"/>
    <w:rsid w:val="00D44A2C"/>
    <w:rsid w:val="00D44FD5"/>
    <w:rsid w:val="00D459DB"/>
    <w:rsid w:val="00D46E5D"/>
    <w:rsid w:val="00D470E2"/>
    <w:rsid w:val="00D47DFE"/>
    <w:rsid w:val="00D50C4C"/>
    <w:rsid w:val="00D50E37"/>
    <w:rsid w:val="00D524CC"/>
    <w:rsid w:val="00D525B3"/>
    <w:rsid w:val="00D537B9"/>
    <w:rsid w:val="00D54CD5"/>
    <w:rsid w:val="00D55378"/>
    <w:rsid w:val="00D570E8"/>
    <w:rsid w:val="00D62D43"/>
    <w:rsid w:val="00D652C5"/>
    <w:rsid w:val="00D6594F"/>
    <w:rsid w:val="00D65EDC"/>
    <w:rsid w:val="00D67856"/>
    <w:rsid w:val="00D74A43"/>
    <w:rsid w:val="00D75B7A"/>
    <w:rsid w:val="00D76420"/>
    <w:rsid w:val="00D778AE"/>
    <w:rsid w:val="00D801FC"/>
    <w:rsid w:val="00D80DCE"/>
    <w:rsid w:val="00D8180C"/>
    <w:rsid w:val="00D81BE5"/>
    <w:rsid w:val="00D82D01"/>
    <w:rsid w:val="00D84288"/>
    <w:rsid w:val="00D85122"/>
    <w:rsid w:val="00D85610"/>
    <w:rsid w:val="00D857EE"/>
    <w:rsid w:val="00D858DA"/>
    <w:rsid w:val="00D85D80"/>
    <w:rsid w:val="00D86E7B"/>
    <w:rsid w:val="00D907D8"/>
    <w:rsid w:val="00D91687"/>
    <w:rsid w:val="00D923AA"/>
    <w:rsid w:val="00D94921"/>
    <w:rsid w:val="00D94EA8"/>
    <w:rsid w:val="00D95CC2"/>
    <w:rsid w:val="00DA0AF2"/>
    <w:rsid w:val="00DA0DC5"/>
    <w:rsid w:val="00DA0F5B"/>
    <w:rsid w:val="00DA1E4B"/>
    <w:rsid w:val="00DA2218"/>
    <w:rsid w:val="00DA342A"/>
    <w:rsid w:val="00DA377B"/>
    <w:rsid w:val="00DA3A9D"/>
    <w:rsid w:val="00DA406E"/>
    <w:rsid w:val="00DA57F9"/>
    <w:rsid w:val="00DA6491"/>
    <w:rsid w:val="00DA6F78"/>
    <w:rsid w:val="00DA7094"/>
    <w:rsid w:val="00DA77D0"/>
    <w:rsid w:val="00DB48DA"/>
    <w:rsid w:val="00DB51C7"/>
    <w:rsid w:val="00DB6172"/>
    <w:rsid w:val="00DB73F4"/>
    <w:rsid w:val="00DC217E"/>
    <w:rsid w:val="00DC2CDC"/>
    <w:rsid w:val="00DC458F"/>
    <w:rsid w:val="00DC5748"/>
    <w:rsid w:val="00DC5C7C"/>
    <w:rsid w:val="00DC5CC7"/>
    <w:rsid w:val="00DC6697"/>
    <w:rsid w:val="00DC6737"/>
    <w:rsid w:val="00DC6ADB"/>
    <w:rsid w:val="00DC77DB"/>
    <w:rsid w:val="00DD04E6"/>
    <w:rsid w:val="00DD0BCA"/>
    <w:rsid w:val="00DD0CE0"/>
    <w:rsid w:val="00DD31CC"/>
    <w:rsid w:val="00DD57FD"/>
    <w:rsid w:val="00DD5ABE"/>
    <w:rsid w:val="00DD7E34"/>
    <w:rsid w:val="00DD7F43"/>
    <w:rsid w:val="00DE0B0F"/>
    <w:rsid w:val="00DE0E1F"/>
    <w:rsid w:val="00DE2B36"/>
    <w:rsid w:val="00DE2C3A"/>
    <w:rsid w:val="00DE3701"/>
    <w:rsid w:val="00DE3F9A"/>
    <w:rsid w:val="00DE52F6"/>
    <w:rsid w:val="00DE56A2"/>
    <w:rsid w:val="00DE5869"/>
    <w:rsid w:val="00DE58A4"/>
    <w:rsid w:val="00DE5BE9"/>
    <w:rsid w:val="00DE755D"/>
    <w:rsid w:val="00DF0046"/>
    <w:rsid w:val="00DF1A16"/>
    <w:rsid w:val="00DF1A5D"/>
    <w:rsid w:val="00DF2BE5"/>
    <w:rsid w:val="00DF3606"/>
    <w:rsid w:val="00DF36E7"/>
    <w:rsid w:val="00DF4A78"/>
    <w:rsid w:val="00DF5088"/>
    <w:rsid w:val="00DF6C4E"/>
    <w:rsid w:val="00DF6DAA"/>
    <w:rsid w:val="00DF724D"/>
    <w:rsid w:val="00E00C7C"/>
    <w:rsid w:val="00E00F20"/>
    <w:rsid w:val="00E0187B"/>
    <w:rsid w:val="00E029B1"/>
    <w:rsid w:val="00E03779"/>
    <w:rsid w:val="00E03A7D"/>
    <w:rsid w:val="00E03EDA"/>
    <w:rsid w:val="00E045D7"/>
    <w:rsid w:val="00E04CA5"/>
    <w:rsid w:val="00E05AA0"/>
    <w:rsid w:val="00E06CD6"/>
    <w:rsid w:val="00E1137A"/>
    <w:rsid w:val="00E117D5"/>
    <w:rsid w:val="00E11D07"/>
    <w:rsid w:val="00E1203A"/>
    <w:rsid w:val="00E12A9D"/>
    <w:rsid w:val="00E12C13"/>
    <w:rsid w:val="00E13F2D"/>
    <w:rsid w:val="00E14692"/>
    <w:rsid w:val="00E14B8F"/>
    <w:rsid w:val="00E1589B"/>
    <w:rsid w:val="00E15BBE"/>
    <w:rsid w:val="00E15D7E"/>
    <w:rsid w:val="00E203E7"/>
    <w:rsid w:val="00E225C9"/>
    <w:rsid w:val="00E22E65"/>
    <w:rsid w:val="00E232A1"/>
    <w:rsid w:val="00E24146"/>
    <w:rsid w:val="00E247EE"/>
    <w:rsid w:val="00E24EEF"/>
    <w:rsid w:val="00E257B8"/>
    <w:rsid w:val="00E25D1A"/>
    <w:rsid w:val="00E26034"/>
    <w:rsid w:val="00E26267"/>
    <w:rsid w:val="00E27251"/>
    <w:rsid w:val="00E3025B"/>
    <w:rsid w:val="00E323C4"/>
    <w:rsid w:val="00E3251B"/>
    <w:rsid w:val="00E32BB1"/>
    <w:rsid w:val="00E34CCE"/>
    <w:rsid w:val="00E34E70"/>
    <w:rsid w:val="00E34F51"/>
    <w:rsid w:val="00E36BD6"/>
    <w:rsid w:val="00E404B3"/>
    <w:rsid w:val="00E40FCF"/>
    <w:rsid w:val="00E4277D"/>
    <w:rsid w:val="00E42D49"/>
    <w:rsid w:val="00E43E1B"/>
    <w:rsid w:val="00E44CD4"/>
    <w:rsid w:val="00E468E5"/>
    <w:rsid w:val="00E47765"/>
    <w:rsid w:val="00E47CB1"/>
    <w:rsid w:val="00E509D6"/>
    <w:rsid w:val="00E51792"/>
    <w:rsid w:val="00E51E60"/>
    <w:rsid w:val="00E53F07"/>
    <w:rsid w:val="00E5593E"/>
    <w:rsid w:val="00E55EF1"/>
    <w:rsid w:val="00E5687C"/>
    <w:rsid w:val="00E56D89"/>
    <w:rsid w:val="00E618D1"/>
    <w:rsid w:val="00E63315"/>
    <w:rsid w:val="00E644E5"/>
    <w:rsid w:val="00E64AEA"/>
    <w:rsid w:val="00E6534D"/>
    <w:rsid w:val="00E6665F"/>
    <w:rsid w:val="00E67243"/>
    <w:rsid w:val="00E71B36"/>
    <w:rsid w:val="00E71CD7"/>
    <w:rsid w:val="00E736DA"/>
    <w:rsid w:val="00E740A4"/>
    <w:rsid w:val="00E74286"/>
    <w:rsid w:val="00E746D1"/>
    <w:rsid w:val="00E74786"/>
    <w:rsid w:val="00E76756"/>
    <w:rsid w:val="00E77C06"/>
    <w:rsid w:val="00E81311"/>
    <w:rsid w:val="00E81984"/>
    <w:rsid w:val="00E81B33"/>
    <w:rsid w:val="00E850AA"/>
    <w:rsid w:val="00E85876"/>
    <w:rsid w:val="00E866C4"/>
    <w:rsid w:val="00E86D10"/>
    <w:rsid w:val="00E874D2"/>
    <w:rsid w:val="00E900CF"/>
    <w:rsid w:val="00E9081E"/>
    <w:rsid w:val="00E93297"/>
    <w:rsid w:val="00E95882"/>
    <w:rsid w:val="00E95CA8"/>
    <w:rsid w:val="00E96B03"/>
    <w:rsid w:val="00E96C43"/>
    <w:rsid w:val="00EA09B9"/>
    <w:rsid w:val="00EA0E7A"/>
    <w:rsid w:val="00EA1019"/>
    <w:rsid w:val="00EA1704"/>
    <w:rsid w:val="00EA213F"/>
    <w:rsid w:val="00EA3745"/>
    <w:rsid w:val="00EA41A7"/>
    <w:rsid w:val="00EA42E0"/>
    <w:rsid w:val="00EA4ADC"/>
    <w:rsid w:val="00EB065F"/>
    <w:rsid w:val="00EB198A"/>
    <w:rsid w:val="00EB2239"/>
    <w:rsid w:val="00EB3841"/>
    <w:rsid w:val="00EB6A9B"/>
    <w:rsid w:val="00EB7B06"/>
    <w:rsid w:val="00EC66EB"/>
    <w:rsid w:val="00EC6A79"/>
    <w:rsid w:val="00EC6D92"/>
    <w:rsid w:val="00EC70AC"/>
    <w:rsid w:val="00EC7389"/>
    <w:rsid w:val="00EC7644"/>
    <w:rsid w:val="00ED1C0B"/>
    <w:rsid w:val="00ED58C3"/>
    <w:rsid w:val="00ED632C"/>
    <w:rsid w:val="00ED7E04"/>
    <w:rsid w:val="00EE0AC3"/>
    <w:rsid w:val="00EE0F15"/>
    <w:rsid w:val="00EE1D0F"/>
    <w:rsid w:val="00EE3AF2"/>
    <w:rsid w:val="00EE48E7"/>
    <w:rsid w:val="00EE7995"/>
    <w:rsid w:val="00EF03A7"/>
    <w:rsid w:val="00EF2D8F"/>
    <w:rsid w:val="00EF3355"/>
    <w:rsid w:val="00EF36BD"/>
    <w:rsid w:val="00EF3F38"/>
    <w:rsid w:val="00EF41B6"/>
    <w:rsid w:val="00EF4B7D"/>
    <w:rsid w:val="00F03D6F"/>
    <w:rsid w:val="00F070FD"/>
    <w:rsid w:val="00F10544"/>
    <w:rsid w:val="00F11791"/>
    <w:rsid w:val="00F132D8"/>
    <w:rsid w:val="00F1337B"/>
    <w:rsid w:val="00F15285"/>
    <w:rsid w:val="00F17446"/>
    <w:rsid w:val="00F24106"/>
    <w:rsid w:val="00F24FB6"/>
    <w:rsid w:val="00F2535C"/>
    <w:rsid w:val="00F257B5"/>
    <w:rsid w:val="00F26B81"/>
    <w:rsid w:val="00F26D03"/>
    <w:rsid w:val="00F27597"/>
    <w:rsid w:val="00F27ACE"/>
    <w:rsid w:val="00F30499"/>
    <w:rsid w:val="00F309DB"/>
    <w:rsid w:val="00F32173"/>
    <w:rsid w:val="00F34656"/>
    <w:rsid w:val="00F37E6B"/>
    <w:rsid w:val="00F37F0C"/>
    <w:rsid w:val="00F4179A"/>
    <w:rsid w:val="00F43E1D"/>
    <w:rsid w:val="00F45D51"/>
    <w:rsid w:val="00F4604C"/>
    <w:rsid w:val="00F46383"/>
    <w:rsid w:val="00F47FA6"/>
    <w:rsid w:val="00F500BE"/>
    <w:rsid w:val="00F5177A"/>
    <w:rsid w:val="00F52A27"/>
    <w:rsid w:val="00F52EC6"/>
    <w:rsid w:val="00F52FC3"/>
    <w:rsid w:val="00F5491D"/>
    <w:rsid w:val="00F55F6B"/>
    <w:rsid w:val="00F56439"/>
    <w:rsid w:val="00F56838"/>
    <w:rsid w:val="00F57178"/>
    <w:rsid w:val="00F6026D"/>
    <w:rsid w:val="00F60351"/>
    <w:rsid w:val="00F61535"/>
    <w:rsid w:val="00F62080"/>
    <w:rsid w:val="00F63642"/>
    <w:rsid w:val="00F64201"/>
    <w:rsid w:val="00F654D2"/>
    <w:rsid w:val="00F65A35"/>
    <w:rsid w:val="00F70B89"/>
    <w:rsid w:val="00F72438"/>
    <w:rsid w:val="00F72D7E"/>
    <w:rsid w:val="00F7313F"/>
    <w:rsid w:val="00F7475C"/>
    <w:rsid w:val="00F75944"/>
    <w:rsid w:val="00F760B0"/>
    <w:rsid w:val="00F77ED7"/>
    <w:rsid w:val="00F80375"/>
    <w:rsid w:val="00F812B6"/>
    <w:rsid w:val="00F819CA"/>
    <w:rsid w:val="00F81F94"/>
    <w:rsid w:val="00F82315"/>
    <w:rsid w:val="00F82418"/>
    <w:rsid w:val="00F83021"/>
    <w:rsid w:val="00F860F8"/>
    <w:rsid w:val="00F865FA"/>
    <w:rsid w:val="00F86F28"/>
    <w:rsid w:val="00F870B4"/>
    <w:rsid w:val="00F9024B"/>
    <w:rsid w:val="00F9051C"/>
    <w:rsid w:val="00F90F2F"/>
    <w:rsid w:val="00F93B9B"/>
    <w:rsid w:val="00F94A5D"/>
    <w:rsid w:val="00F94CEF"/>
    <w:rsid w:val="00F95374"/>
    <w:rsid w:val="00F96F7F"/>
    <w:rsid w:val="00F97927"/>
    <w:rsid w:val="00FA0352"/>
    <w:rsid w:val="00FA0906"/>
    <w:rsid w:val="00FA2EB5"/>
    <w:rsid w:val="00FA7F77"/>
    <w:rsid w:val="00FB2898"/>
    <w:rsid w:val="00FB387A"/>
    <w:rsid w:val="00FB460D"/>
    <w:rsid w:val="00FB4983"/>
    <w:rsid w:val="00FB65D0"/>
    <w:rsid w:val="00FB68BB"/>
    <w:rsid w:val="00FC048B"/>
    <w:rsid w:val="00FC2B2C"/>
    <w:rsid w:val="00FC3C1A"/>
    <w:rsid w:val="00FC460A"/>
    <w:rsid w:val="00FC6A51"/>
    <w:rsid w:val="00FC726B"/>
    <w:rsid w:val="00FC7CA7"/>
    <w:rsid w:val="00FD088E"/>
    <w:rsid w:val="00FD1366"/>
    <w:rsid w:val="00FD1D55"/>
    <w:rsid w:val="00FD3400"/>
    <w:rsid w:val="00FD4C3A"/>
    <w:rsid w:val="00FD5EC7"/>
    <w:rsid w:val="00FD6959"/>
    <w:rsid w:val="00FD7938"/>
    <w:rsid w:val="00FD7E68"/>
    <w:rsid w:val="00FE009A"/>
    <w:rsid w:val="00FE04F6"/>
    <w:rsid w:val="00FE2834"/>
    <w:rsid w:val="00FE4395"/>
    <w:rsid w:val="00FE6105"/>
    <w:rsid w:val="00FE7700"/>
    <w:rsid w:val="00FF0A6D"/>
    <w:rsid w:val="00FF0D31"/>
    <w:rsid w:val="00FF1470"/>
    <w:rsid w:val="00FF16AE"/>
    <w:rsid w:val="00FF3FD6"/>
    <w:rsid w:val="00FF674D"/>
    <w:rsid w:val="00FF6FFE"/>
    <w:rsid w:val="00FF72AF"/>
    <w:rsid w:val="01DB1C83"/>
    <w:rsid w:val="025637C6"/>
    <w:rsid w:val="03035935"/>
    <w:rsid w:val="03186DB3"/>
    <w:rsid w:val="05D7711C"/>
    <w:rsid w:val="067E3C30"/>
    <w:rsid w:val="075C1AB8"/>
    <w:rsid w:val="08AC4379"/>
    <w:rsid w:val="092B2F60"/>
    <w:rsid w:val="0ABD286D"/>
    <w:rsid w:val="0DDE56BF"/>
    <w:rsid w:val="0E352456"/>
    <w:rsid w:val="0EAD2BF9"/>
    <w:rsid w:val="100E7294"/>
    <w:rsid w:val="10207B26"/>
    <w:rsid w:val="10E36DA6"/>
    <w:rsid w:val="110034B4"/>
    <w:rsid w:val="1104441B"/>
    <w:rsid w:val="114F1D45"/>
    <w:rsid w:val="118E0FFB"/>
    <w:rsid w:val="12975AC4"/>
    <w:rsid w:val="12C549B5"/>
    <w:rsid w:val="14E135FC"/>
    <w:rsid w:val="16557DFE"/>
    <w:rsid w:val="178976B8"/>
    <w:rsid w:val="184864DF"/>
    <w:rsid w:val="187024A9"/>
    <w:rsid w:val="1A887818"/>
    <w:rsid w:val="1D6C39E9"/>
    <w:rsid w:val="20390790"/>
    <w:rsid w:val="20CD13DD"/>
    <w:rsid w:val="224D631B"/>
    <w:rsid w:val="22B3482A"/>
    <w:rsid w:val="2392443F"/>
    <w:rsid w:val="23A10B26"/>
    <w:rsid w:val="23BA5744"/>
    <w:rsid w:val="24D578A7"/>
    <w:rsid w:val="26D150CB"/>
    <w:rsid w:val="26EF7DFB"/>
    <w:rsid w:val="286251E0"/>
    <w:rsid w:val="291819B2"/>
    <w:rsid w:val="2A096797"/>
    <w:rsid w:val="2A9622C8"/>
    <w:rsid w:val="2AAF1D7B"/>
    <w:rsid w:val="2AC614E4"/>
    <w:rsid w:val="2BD6472A"/>
    <w:rsid w:val="2C3106FC"/>
    <w:rsid w:val="2E7D3F3E"/>
    <w:rsid w:val="2E800C5C"/>
    <w:rsid w:val="2F126D00"/>
    <w:rsid w:val="31D20EEB"/>
    <w:rsid w:val="31E52AFF"/>
    <w:rsid w:val="323C0139"/>
    <w:rsid w:val="34494272"/>
    <w:rsid w:val="36D260B9"/>
    <w:rsid w:val="37176325"/>
    <w:rsid w:val="37BB7456"/>
    <w:rsid w:val="3A4A73CA"/>
    <w:rsid w:val="3AF824CF"/>
    <w:rsid w:val="3C917532"/>
    <w:rsid w:val="3DAC67AE"/>
    <w:rsid w:val="3E5E5410"/>
    <w:rsid w:val="3F0C5631"/>
    <w:rsid w:val="401B7113"/>
    <w:rsid w:val="418A584C"/>
    <w:rsid w:val="41BE244C"/>
    <w:rsid w:val="433C7E05"/>
    <w:rsid w:val="437F62D2"/>
    <w:rsid w:val="438F5E4E"/>
    <w:rsid w:val="44330ECF"/>
    <w:rsid w:val="44E346A3"/>
    <w:rsid w:val="45036AF3"/>
    <w:rsid w:val="46535859"/>
    <w:rsid w:val="471A4FAF"/>
    <w:rsid w:val="4791400A"/>
    <w:rsid w:val="49E669E4"/>
    <w:rsid w:val="4A1E1CDA"/>
    <w:rsid w:val="4AF41EA7"/>
    <w:rsid w:val="4C6B164F"/>
    <w:rsid w:val="4CBC5CCE"/>
    <w:rsid w:val="51D81308"/>
    <w:rsid w:val="53442939"/>
    <w:rsid w:val="53D82044"/>
    <w:rsid w:val="550F5041"/>
    <w:rsid w:val="569F23F4"/>
    <w:rsid w:val="579935AE"/>
    <w:rsid w:val="58251350"/>
    <w:rsid w:val="5A4D3014"/>
    <w:rsid w:val="5A5241D5"/>
    <w:rsid w:val="5C245875"/>
    <w:rsid w:val="5D804D2D"/>
    <w:rsid w:val="5DC15346"/>
    <w:rsid w:val="5DEA03F9"/>
    <w:rsid w:val="5EB83AA1"/>
    <w:rsid w:val="5F1E7668"/>
    <w:rsid w:val="5F304531"/>
    <w:rsid w:val="60E244A6"/>
    <w:rsid w:val="615564D1"/>
    <w:rsid w:val="61DB7D3F"/>
    <w:rsid w:val="620A1069"/>
    <w:rsid w:val="623C2464"/>
    <w:rsid w:val="62CE02E9"/>
    <w:rsid w:val="64EF2799"/>
    <w:rsid w:val="65815AE7"/>
    <w:rsid w:val="691E364C"/>
    <w:rsid w:val="69DC0DA3"/>
    <w:rsid w:val="6A49366D"/>
    <w:rsid w:val="6AFA2A84"/>
    <w:rsid w:val="6B33389B"/>
    <w:rsid w:val="6B352E2C"/>
    <w:rsid w:val="6B3E465B"/>
    <w:rsid w:val="6DC05EA5"/>
    <w:rsid w:val="6DF80910"/>
    <w:rsid w:val="6F63000B"/>
    <w:rsid w:val="6F710BA8"/>
    <w:rsid w:val="707A48DC"/>
    <w:rsid w:val="71674B6D"/>
    <w:rsid w:val="71B12890"/>
    <w:rsid w:val="71EC42E8"/>
    <w:rsid w:val="7217294D"/>
    <w:rsid w:val="733E0A28"/>
    <w:rsid w:val="73A813FF"/>
    <w:rsid w:val="73F06BB1"/>
    <w:rsid w:val="76CB1F35"/>
    <w:rsid w:val="785C7CED"/>
    <w:rsid w:val="7A2E7493"/>
    <w:rsid w:val="7D221505"/>
    <w:rsid w:val="7D722672"/>
    <w:rsid w:val="7DB371E4"/>
    <w:rsid w:val="7F0F5AB9"/>
    <w:rsid w:val="7F2C6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DD"/>
    <w:pPr>
      <w:widowControl w:val="0"/>
      <w:autoSpaceDE w:val="0"/>
      <w:autoSpaceDN w:val="0"/>
    </w:pPr>
    <w:rPr>
      <w:rFonts w:ascii="仿宋_GB2312" w:eastAsia="仿宋_GB2312"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1350DD"/>
    <w:pPr>
      <w:ind w:left="120"/>
    </w:pPr>
    <w:rPr>
      <w:sz w:val="32"/>
      <w:szCs w:val="32"/>
    </w:rPr>
  </w:style>
  <w:style w:type="paragraph" w:styleId="a4">
    <w:name w:val="Balloon Text"/>
    <w:basedOn w:val="a"/>
    <w:link w:val="Char0"/>
    <w:uiPriority w:val="99"/>
    <w:semiHidden/>
    <w:unhideWhenUsed/>
    <w:qFormat/>
    <w:rsid w:val="001350DD"/>
    <w:rPr>
      <w:sz w:val="18"/>
      <w:szCs w:val="18"/>
    </w:rPr>
  </w:style>
  <w:style w:type="paragraph" w:styleId="a5">
    <w:name w:val="footer"/>
    <w:basedOn w:val="a"/>
    <w:link w:val="Char1"/>
    <w:uiPriority w:val="99"/>
    <w:unhideWhenUsed/>
    <w:qFormat/>
    <w:rsid w:val="001350DD"/>
    <w:pPr>
      <w:tabs>
        <w:tab w:val="center" w:pos="4153"/>
        <w:tab w:val="right" w:pos="8306"/>
      </w:tabs>
      <w:snapToGrid w:val="0"/>
    </w:pPr>
    <w:rPr>
      <w:sz w:val="18"/>
      <w:szCs w:val="18"/>
    </w:rPr>
  </w:style>
  <w:style w:type="paragraph" w:styleId="a6">
    <w:name w:val="header"/>
    <w:basedOn w:val="a"/>
    <w:link w:val="Char2"/>
    <w:uiPriority w:val="99"/>
    <w:unhideWhenUsed/>
    <w:qFormat/>
    <w:rsid w:val="001350D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qFormat/>
    <w:rsid w:val="001350DD"/>
    <w:rPr>
      <w:rFonts w:ascii="仿宋_GB2312" w:eastAsia="仿宋_GB2312" w:hAnsi="宋体" w:cs="宋体"/>
      <w:kern w:val="0"/>
      <w:sz w:val="32"/>
      <w:szCs w:val="32"/>
    </w:rPr>
  </w:style>
  <w:style w:type="paragraph" w:customStyle="1" w:styleId="1">
    <w:name w:val="列出段落1"/>
    <w:basedOn w:val="a"/>
    <w:qFormat/>
    <w:rsid w:val="001350DD"/>
    <w:pPr>
      <w:spacing w:before="2"/>
      <w:ind w:left="1084" w:hanging="326"/>
    </w:pPr>
  </w:style>
  <w:style w:type="character" w:customStyle="1" w:styleId="Char0">
    <w:name w:val="批注框文本 Char"/>
    <w:basedOn w:val="a0"/>
    <w:link w:val="a4"/>
    <w:uiPriority w:val="99"/>
    <w:semiHidden/>
    <w:qFormat/>
    <w:rsid w:val="001350DD"/>
    <w:rPr>
      <w:rFonts w:ascii="仿宋_GB2312" w:eastAsia="仿宋_GB2312" w:hAnsi="宋体" w:cs="宋体"/>
      <w:kern w:val="0"/>
      <w:sz w:val="18"/>
      <w:szCs w:val="18"/>
    </w:rPr>
  </w:style>
  <w:style w:type="character" w:customStyle="1" w:styleId="Char2">
    <w:name w:val="页眉 Char"/>
    <w:basedOn w:val="a0"/>
    <w:link w:val="a6"/>
    <w:uiPriority w:val="99"/>
    <w:qFormat/>
    <w:rsid w:val="001350DD"/>
    <w:rPr>
      <w:rFonts w:ascii="仿宋_GB2312" w:eastAsia="仿宋_GB2312" w:hAnsi="宋体" w:cs="宋体"/>
      <w:kern w:val="0"/>
      <w:sz w:val="18"/>
      <w:szCs w:val="18"/>
    </w:rPr>
  </w:style>
  <w:style w:type="character" w:customStyle="1" w:styleId="Char1">
    <w:name w:val="页脚 Char"/>
    <w:basedOn w:val="a0"/>
    <w:link w:val="a5"/>
    <w:uiPriority w:val="99"/>
    <w:qFormat/>
    <w:rsid w:val="001350DD"/>
    <w:rPr>
      <w:rFonts w:ascii="仿宋_GB2312" w:eastAsia="仿宋_GB2312" w:hAnsi="宋体" w:cs="宋体"/>
      <w:kern w:val="0"/>
      <w:sz w:val="18"/>
      <w:szCs w:val="18"/>
    </w:rPr>
  </w:style>
  <w:style w:type="paragraph" w:styleId="a7">
    <w:name w:val="List Paragraph"/>
    <w:basedOn w:val="a"/>
    <w:uiPriority w:val="34"/>
    <w:qFormat/>
    <w:rsid w:val="001350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2DC7-25F2-42CC-B25C-24F3301A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725</Words>
  <Characters>4138</Characters>
  <Application>Microsoft Office Word</Application>
  <DocSecurity>0</DocSecurity>
  <Lines>34</Lines>
  <Paragraphs>9</Paragraphs>
  <ScaleCrop>false</ScaleCrop>
  <Company>Microsoft</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pqr-hp880g2</cp:lastModifiedBy>
  <cp:revision>106</cp:revision>
  <dcterms:created xsi:type="dcterms:W3CDTF">2021-02-08T07:55:00Z</dcterms:created>
  <dcterms:modified xsi:type="dcterms:W3CDTF">2023-01-31T02:19:00Z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B9668865FA344BFD9E7844FEE0B09703</vt:lpwstr>
  </property>
</Properties>
</file>