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65755">
      <w:pPr>
        <w:adjustRightInd w:val="0"/>
        <w:snapToGrid w:val="0"/>
        <w:spacing w:line="570" w:lineRule="exact"/>
        <w:jc w:val="center"/>
        <w:rPr>
          <w:rFonts w:ascii="方正小标宋_GBK" w:hAnsi="宋体" w:eastAsia="方正小标宋_GBK"/>
          <w:color w:val="000000"/>
          <w:sz w:val="44"/>
          <w:szCs w:val="44"/>
        </w:rPr>
      </w:pPr>
      <w:r>
        <w:rPr>
          <w:rFonts w:hint="eastAsia" w:ascii="方正小标宋_GBK" w:hAnsi="宋体" w:eastAsia="方正小标宋_GBK"/>
          <w:color w:val="000000"/>
          <w:sz w:val="44"/>
          <w:szCs w:val="44"/>
        </w:rPr>
        <w:t>广西壮族自治区广播电视局机关服务中心</w:t>
      </w:r>
    </w:p>
    <w:p w14:paraId="03968E77">
      <w:pPr>
        <w:adjustRightInd w:val="0"/>
        <w:snapToGrid w:val="0"/>
        <w:spacing w:line="560" w:lineRule="exact"/>
        <w:ind w:right="-333" w:rightChars="-104"/>
        <w:jc w:val="center"/>
        <w:rPr>
          <w:rFonts w:hint="eastAsia" w:ascii="黑体" w:hAnsi="宋体" w:eastAsia="方正小标宋简体"/>
          <w:bCs/>
          <w:szCs w:val="32"/>
        </w:rPr>
      </w:pPr>
      <w:r>
        <w:rPr>
          <w:rFonts w:hint="eastAsia" w:ascii="方正小标宋简体" w:eastAsia="方正小标宋简体"/>
          <w:sz w:val="44"/>
          <w:szCs w:val="44"/>
        </w:rPr>
        <w:t xml:space="preserve"> </w:t>
      </w:r>
      <w:r>
        <w:rPr>
          <w:rFonts w:hint="eastAsia" w:ascii="方正小标宋简体" w:eastAsia="方正小标宋简体"/>
          <w:sz w:val="44"/>
          <w:szCs w:val="44"/>
          <w:lang w:eastAsia="zh-CN"/>
        </w:rPr>
        <w:t>2026</w:t>
      </w:r>
      <w:r>
        <w:rPr>
          <w:rFonts w:hint="eastAsia" w:ascii="方正小标宋简体" w:eastAsia="方正小标宋简体"/>
          <w:sz w:val="44"/>
          <w:szCs w:val="44"/>
        </w:rPr>
        <w:t>年单位预算公开说明</w:t>
      </w:r>
    </w:p>
    <w:p w14:paraId="2AAC6EE8">
      <w:pPr>
        <w:adjustRightInd w:val="0"/>
        <w:snapToGrid w:val="0"/>
        <w:spacing w:line="560" w:lineRule="exact"/>
        <w:ind w:right="-333" w:rightChars="-104"/>
        <w:jc w:val="center"/>
        <w:rPr>
          <w:rFonts w:hint="eastAsia" w:ascii="黑体" w:hAnsi="宋体" w:eastAsia="黑体"/>
          <w:bCs/>
          <w:szCs w:val="32"/>
        </w:rPr>
      </w:pPr>
    </w:p>
    <w:p w14:paraId="6382D489">
      <w:pPr>
        <w:adjustRightInd w:val="0"/>
        <w:snapToGrid w:val="0"/>
        <w:spacing w:line="560" w:lineRule="exact"/>
        <w:ind w:right="-333" w:rightChars="-104"/>
        <w:jc w:val="center"/>
        <w:rPr>
          <w:rFonts w:hint="eastAsia" w:ascii="黑体" w:hAnsi="宋体" w:eastAsia="黑体"/>
          <w:bCs/>
          <w:szCs w:val="32"/>
        </w:rPr>
      </w:pPr>
      <w:r>
        <w:rPr>
          <w:rFonts w:hint="eastAsia" w:ascii="黑体" w:hAnsi="宋体" w:eastAsia="黑体"/>
          <w:bCs/>
          <w:szCs w:val="32"/>
        </w:rPr>
        <w:t>目  录</w:t>
      </w:r>
    </w:p>
    <w:p w14:paraId="12245401">
      <w:pPr>
        <w:adjustRightInd w:val="0"/>
        <w:snapToGrid w:val="0"/>
        <w:spacing w:line="600" w:lineRule="exact"/>
        <w:ind w:right="-333" w:rightChars="-104" w:firstLine="640" w:firstLineChars="200"/>
        <w:rPr>
          <w:rFonts w:ascii="宋体" w:hAnsi="宋体" w:eastAsia="宋体"/>
          <w:bCs/>
          <w:szCs w:val="32"/>
        </w:rPr>
      </w:pPr>
    </w:p>
    <w:p w14:paraId="53763425">
      <w:pPr>
        <w:adjustRightInd w:val="0"/>
        <w:snapToGrid w:val="0"/>
        <w:spacing w:line="600" w:lineRule="exact"/>
        <w:ind w:right="-333" w:rightChars="-104" w:firstLine="640" w:firstLineChars="200"/>
        <w:rPr>
          <w:rFonts w:ascii="黑体" w:hAnsi="黑体" w:eastAsia="黑体"/>
          <w:bCs/>
          <w:szCs w:val="32"/>
        </w:rPr>
      </w:pPr>
      <w:r>
        <w:rPr>
          <w:rFonts w:hint="eastAsia" w:ascii="黑体" w:hAnsi="黑体" w:eastAsia="黑体"/>
          <w:bCs/>
          <w:szCs w:val="32"/>
        </w:rPr>
        <w:t>第一部分：单位概况</w:t>
      </w:r>
    </w:p>
    <w:p w14:paraId="202557A1">
      <w:pPr>
        <w:adjustRightInd w:val="0"/>
        <w:snapToGrid w:val="0"/>
        <w:spacing w:line="560" w:lineRule="exact"/>
        <w:ind w:firstLine="640" w:firstLineChars="200"/>
        <w:textAlignment w:val="baseline"/>
        <w:rPr>
          <w:rFonts w:ascii="仿宋_GB2312" w:hAnsi="黑体"/>
          <w:snapToGrid w:val="0"/>
          <w:color w:val="000000"/>
          <w:szCs w:val="32"/>
        </w:rPr>
      </w:pPr>
      <w:r>
        <w:rPr>
          <w:rFonts w:hint="eastAsia" w:ascii="仿宋_GB2312" w:hAnsi="黑体"/>
          <w:snapToGrid w:val="0"/>
          <w:color w:val="000000"/>
          <w:szCs w:val="32"/>
        </w:rPr>
        <w:t>一、单位主要职能</w:t>
      </w:r>
    </w:p>
    <w:p w14:paraId="4C9661AD">
      <w:pPr>
        <w:adjustRightInd w:val="0"/>
        <w:snapToGrid w:val="0"/>
        <w:spacing w:line="560" w:lineRule="exact"/>
        <w:ind w:firstLine="640" w:firstLineChars="200"/>
        <w:textAlignment w:val="baseline"/>
        <w:rPr>
          <w:rFonts w:ascii="仿宋_GB2312" w:hAnsi="黑体"/>
          <w:snapToGrid w:val="0"/>
          <w:color w:val="000000"/>
          <w:szCs w:val="32"/>
        </w:rPr>
      </w:pPr>
      <w:r>
        <w:rPr>
          <w:rFonts w:hint="eastAsia" w:ascii="仿宋_GB2312" w:hAnsi="黑体"/>
          <w:snapToGrid w:val="0"/>
          <w:color w:val="000000"/>
          <w:szCs w:val="32"/>
        </w:rPr>
        <w:t>二、机构设置情况</w:t>
      </w:r>
    </w:p>
    <w:p w14:paraId="173BB24D">
      <w:pPr>
        <w:adjustRightInd w:val="0"/>
        <w:snapToGrid w:val="0"/>
        <w:spacing w:line="600" w:lineRule="exact"/>
        <w:ind w:right="-333" w:rightChars="-104" w:firstLine="640" w:firstLineChars="200"/>
        <w:rPr>
          <w:rFonts w:ascii="黑体" w:hAnsi="黑体" w:eastAsia="黑体"/>
          <w:bCs/>
          <w:szCs w:val="32"/>
        </w:rPr>
      </w:pPr>
      <w:r>
        <w:rPr>
          <w:rFonts w:hint="eastAsia" w:ascii="黑体" w:hAnsi="黑体" w:eastAsia="黑体"/>
          <w:szCs w:val="32"/>
        </w:rPr>
        <w:t>第二部分：广西壮族自治区广播电视局机关服务中心</w:t>
      </w:r>
      <w:r>
        <w:rPr>
          <w:rFonts w:hint="eastAsia" w:ascii="黑体" w:hAnsi="黑体" w:eastAsia="黑体"/>
          <w:szCs w:val="32"/>
          <w:lang w:eastAsia="zh-CN"/>
        </w:rPr>
        <w:t>2026</w:t>
      </w:r>
      <w:r>
        <w:rPr>
          <w:rFonts w:hint="eastAsia" w:ascii="黑体" w:hAnsi="黑体" w:eastAsia="黑体"/>
          <w:szCs w:val="32"/>
        </w:rPr>
        <w:t>年单位预算情况说明</w:t>
      </w:r>
    </w:p>
    <w:p w14:paraId="01DB865D">
      <w:pPr>
        <w:adjustRightInd w:val="0"/>
        <w:snapToGrid w:val="0"/>
        <w:spacing w:line="600" w:lineRule="exact"/>
        <w:ind w:firstLine="640" w:firstLineChars="200"/>
        <w:textAlignment w:val="baseline"/>
        <w:rPr>
          <w:rFonts w:ascii="仿宋_GB2312" w:hAnsi="黑体"/>
          <w:snapToGrid w:val="0"/>
          <w:color w:val="000000"/>
          <w:szCs w:val="32"/>
        </w:rPr>
      </w:pPr>
      <w:r>
        <w:rPr>
          <w:rFonts w:hint="eastAsia" w:ascii="仿宋_GB2312" w:hAnsi="黑体"/>
          <w:snapToGrid w:val="0"/>
          <w:color w:val="000000"/>
          <w:szCs w:val="32"/>
        </w:rPr>
        <w:t>一、单位预算收支增减变化情况说明</w:t>
      </w:r>
    </w:p>
    <w:p w14:paraId="5B9329A1">
      <w:pPr>
        <w:adjustRightInd w:val="0"/>
        <w:snapToGrid w:val="0"/>
        <w:spacing w:line="600" w:lineRule="exact"/>
        <w:ind w:firstLine="640" w:firstLineChars="200"/>
        <w:textAlignment w:val="baseline"/>
        <w:rPr>
          <w:rFonts w:ascii="仿宋_GB2312" w:hAnsi="黑体"/>
          <w:snapToGrid w:val="0"/>
          <w:color w:val="000000"/>
          <w:szCs w:val="32"/>
        </w:rPr>
      </w:pPr>
      <w:r>
        <w:rPr>
          <w:rFonts w:hint="eastAsia" w:ascii="仿宋_GB2312" w:hAnsi="黑体"/>
          <w:snapToGrid w:val="0"/>
          <w:color w:val="000000"/>
          <w:szCs w:val="32"/>
        </w:rPr>
        <w:t>二、单位预算收入总体情况说明</w:t>
      </w:r>
    </w:p>
    <w:p w14:paraId="222C7241">
      <w:pPr>
        <w:adjustRightInd w:val="0"/>
        <w:snapToGrid w:val="0"/>
        <w:spacing w:line="600" w:lineRule="exact"/>
        <w:ind w:firstLine="640" w:firstLineChars="200"/>
        <w:textAlignment w:val="baseline"/>
        <w:rPr>
          <w:rFonts w:ascii="仿宋_GB2312" w:hAnsi="黑体"/>
          <w:snapToGrid w:val="0"/>
          <w:color w:val="000000"/>
          <w:szCs w:val="32"/>
        </w:rPr>
      </w:pPr>
      <w:r>
        <w:rPr>
          <w:rFonts w:hint="eastAsia" w:ascii="仿宋_GB2312" w:hAnsi="黑体"/>
          <w:snapToGrid w:val="0"/>
          <w:color w:val="000000"/>
          <w:szCs w:val="32"/>
        </w:rPr>
        <w:t>三、单位预算支出总体情况说明</w:t>
      </w:r>
    </w:p>
    <w:p w14:paraId="2869ACBC">
      <w:pPr>
        <w:adjustRightInd w:val="0"/>
        <w:snapToGrid w:val="0"/>
        <w:spacing w:line="600" w:lineRule="exact"/>
        <w:ind w:firstLine="640" w:firstLineChars="200"/>
        <w:textAlignment w:val="baseline"/>
        <w:rPr>
          <w:rFonts w:ascii="仿宋_GB2312" w:hAnsi="黑体"/>
          <w:snapToGrid w:val="0"/>
          <w:color w:val="000000"/>
          <w:szCs w:val="32"/>
        </w:rPr>
      </w:pPr>
      <w:r>
        <w:rPr>
          <w:rFonts w:hint="eastAsia" w:ascii="仿宋_GB2312" w:hAnsi="黑体"/>
          <w:snapToGrid w:val="0"/>
          <w:color w:val="000000"/>
          <w:szCs w:val="32"/>
        </w:rPr>
        <w:t>四、政府性基金预算支出情况说明</w:t>
      </w:r>
    </w:p>
    <w:p w14:paraId="43AD4AE6">
      <w:pPr>
        <w:snapToGrid w:val="0"/>
        <w:spacing w:line="600" w:lineRule="exact"/>
        <w:ind w:firstLine="640" w:firstLineChars="200"/>
        <w:rPr>
          <w:rFonts w:ascii="仿宋_GB2312" w:hAnsi="黑体" w:cs="宋体"/>
          <w:szCs w:val="32"/>
        </w:rPr>
      </w:pPr>
      <w:r>
        <w:rPr>
          <w:rFonts w:hint="eastAsia" w:ascii="仿宋_GB2312" w:hAnsi="黑体" w:cs="宋体"/>
          <w:szCs w:val="32"/>
        </w:rPr>
        <w:t>五、国有资本经营预算支出情况说明</w:t>
      </w:r>
    </w:p>
    <w:p w14:paraId="02359361">
      <w:pPr>
        <w:snapToGrid w:val="0"/>
        <w:spacing w:line="600" w:lineRule="exact"/>
        <w:ind w:firstLine="640" w:firstLineChars="200"/>
        <w:rPr>
          <w:rFonts w:ascii="仿宋_GB2312" w:hAnsi="黑体" w:cs="宋体"/>
          <w:szCs w:val="32"/>
        </w:rPr>
      </w:pPr>
      <w:r>
        <w:rPr>
          <w:rFonts w:ascii="仿宋_GB2312" w:hAnsi="黑体" w:cs="宋体"/>
          <w:szCs w:val="32"/>
        </w:rPr>
        <w:t>六、</w:t>
      </w:r>
      <w:r>
        <w:rPr>
          <w:rFonts w:hint="eastAsia" w:ascii="仿宋_GB2312" w:hAnsi="黑体" w:cs="宋体"/>
          <w:szCs w:val="32"/>
        </w:rPr>
        <w:t>一般公共预算“三公”经费支出情况说明</w:t>
      </w:r>
    </w:p>
    <w:p w14:paraId="5179CECF">
      <w:pPr>
        <w:snapToGrid w:val="0"/>
        <w:spacing w:line="600" w:lineRule="exact"/>
        <w:ind w:firstLine="640" w:firstLineChars="200"/>
        <w:rPr>
          <w:rFonts w:ascii="仿宋_GB2312" w:hAnsi="黑体" w:cs="宋体"/>
          <w:szCs w:val="32"/>
        </w:rPr>
      </w:pPr>
      <w:r>
        <w:rPr>
          <w:rFonts w:ascii="仿宋_GB2312" w:hAnsi="黑体" w:cs="宋体"/>
          <w:szCs w:val="32"/>
        </w:rPr>
        <w:t>七、</w:t>
      </w:r>
      <w:r>
        <w:rPr>
          <w:rFonts w:hint="eastAsia" w:ascii="仿宋_GB2312" w:hAnsi="黑体" w:cs="宋体"/>
          <w:szCs w:val="32"/>
        </w:rPr>
        <w:t>事</w:t>
      </w:r>
      <w:r>
        <w:rPr>
          <w:rFonts w:ascii="仿宋_GB2312" w:hAnsi="黑体" w:cs="宋体"/>
          <w:szCs w:val="32"/>
        </w:rPr>
        <w:t>业单位相关运行经费安排情况说明</w:t>
      </w:r>
    </w:p>
    <w:p w14:paraId="2902BCA3">
      <w:pPr>
        <w:snapToGrid w:val="0"/>
        <w:spacing w:line="600" w:lineRule="exact"/>
        <w:ind w:firstLine="640" w:firstLineChars="200"/>
        <w:rPr>
          <w:rFonts w:ascii="仿宋_GB2312" w:hAnsi="黑体" w:cs="宋体"/>
          <w:szCs w:val="32"/>
        </w:rPr>
      </w:pPr>
      <w:r>
        <w:rPr>
          <w:rFonts w:ascii="仿宋_GB2312" w:hAnsi="黑体" w:cs="宋体"/>
          <w:szCs w:val="32"/>
        </w:rPr>
        <w:t>八、政府</w:t>
      </w:r>
      <w:r>
        <w:rPr>
          <w:rFonts w:hint="eastAsia" w:ascii="仿宋_GB2312" w:hAnsi="黑体" w:cs="宋体"/>
          <w:szCs w:val="32"/>
        </w:rPr>
        <w:t>采购</w:t>
      </w:r>
      <w:r>
        <w:rPr>
          <w:rFonts w:ascii="仿宋_GB2312" w:hAnsi="黑体" w:cs="宋体"/>
          <w:szCs w:val="32"/>
        </w:rPr>
        <w:t>预算安排情况说明</w:t>
      </w:r>
    </w:p>
    <w:p w14:paraId="5A1DFBBF">
      <w:pPr>
        <w:snapToGrid w:val="0"/>
        <w:spacing w:line="600" w:lineRule="exact"/>
        <w:ind w:firstLine="640" w:firstLineChars="200"/>
        <w:rPr>
          <w:rFonts w:ascii="仿宋_GB2312" w:hAnsi="黑体" w:cs="宋体"/>
          <w:szCs w:val="32"/>
        </w:rPr>
      </w:pPr>
      <w:r>
        <w:rPr>
          <w:rFonts w:ascii="仿宋_GB2312" w:hAnsi="黑体" w:cs="宋体"/>
          <w:szCs w:val="32"/>
        </w:rPr>
        <w:t>九、国有资产占用情况说明</w:t>
      </w:r>
    </w:p>
    <w:p w14:paraId="47A3A93C">
      <w:pPr>
        <w:snapToGrid w:val="0"/>
        <w:spacing w:line="600" w:lineRule="exact"/>
        <w:ind w:firstLine="640" w:firstLineChars="200"/>
        <w:rPr>
          <w:rFonts w:hint="eastAsia" w:ascii="仿宋_GB2312" w:hAnsi="黑体" w:cs="宋体"/>
          <w:szCs w:val="32"/>
        </w:rPr>
      </w:pPr>
      <w:r>
        <w:rPr>
          <w:rFonts w:ascii="仿宋_GB2312" w:hAnsi="黑体" w:cs="宋体"/>
          <w:szCs w:val="32"/>
        </w:rPr>
        <w:t>十、预算绩效目标情况说明</w:t>
      </w:r>
    </w:p>
    <w:p w14:paraId="36738833">
      <w:pPr>
        <w:adjustRightInd w:val="0"/>
        <w:snapToGrid w:val="0"/>
        <w:spacing w:line="600" w:lineRule="exact"/>
        <w:ind w:right="-333" w:rightChars="-104" w:firstLine="640" w:firstLineChars="200"/>
        <w:rPr>
          <w:rFonts w:ascii="黑体" w:hAnsi="黑体" w:eastAsia="黑体"/>
          <w:szCs w:val="32"/>
        </w:rPr>
      </w:pPr>
      <w:r>
        <w:rPr>
          <w:rFonts w:hint="eastAsia" w:ascii="黑体" w:hAnsi="黑体" w:eastAsia="黑体"/>
          <w:szCs w:val="32"/>
        </w:rPr>
        <w:t>第三部分：名词解释</w:t>
      </w:r>
    </w:p>
    <w:p w14:paraId="3A08797C">
      <w:pPr>
        <w:adjustRightInd w:val="0"/>
        <w:snapToGrid w:val="0"/>
        <w:spacing w:line="600" w:lineRule="exact"/>
        <w:ind w:right="-333" w:rightChars="-104" w:firstLine="640" w:firstLineChars="200"/>
        <w:rPr>
          <w:rFonts w:ascii="黑体" w:hAnsi="黑体" w:eastAsia="黑体"/>
          <w:szCs w:val="32"/>
        </w:rPr>
      </w:pPr>
      <w:r>
        <w:rPr>
          <w:rFonts w:hint="eastAsia" w:ascii="黑体" w:hAnsi="黑体" w:eastAsia="黑体"/>
          <w:bCs/>
          <w:szCs w:val="32"/>
        </w:rPr>
        <w:t>第四部分：</w:t>
      </w:r>
      <w:r>
        <w:rPr>
          <w:rFonts w:hint="eastAsia" w:ascii="黑体" w:hAnsi="黑体" w:eastAsia="黑体"/>
          <w:szCs w:val="32"/>
        </w:rPr>
        <w:t>广西壮族自治区广播电视局机关服务中心</w:t>
      </w:r>
      <w:r>
        <w:rPr>
          <w:rFonts w:hint="eastAsia" w:ascii="黑体" w:hAnsi="黑体" w:eastAsia="黑体"/>
          <w:szCs w:val="32"/>
          <w:lang w:eastAsia="zh-CN"/>
        </w:rPr>
        <w:t>2026</w:t>
      </w:r>
      <w:r>
        <w:rPr>
          <w:rFonts w:hint="eastAsia" w:ascii="黑体" w:hAnsi="黑体" w:eastAsia="黑体"/>
          <w:szCs w:val="32"/>
        </w:rPr>
        <w:t>年单位预算公开报表</w:t>
      </w:r>
    </w:p>
    <w:p w14:paraId="5FD1C0D0">
      <w:pPr>
        <w:adjustRightInd w:val="0"/>
        <w:snapToGrid w:val="0"/>
        <w:spacing w:line="560" w:lineRule="exact"/>
        <w:ind w:firstLine="640" w:firstLineChars="200"/>
        <w:textAlignment w:val="baseline"/>
        <w:rPr>
          <w:rFonts w:ascii="仿宋_GB2312" w:hAnsi="仿宋"/>
          <w:snapToGrid w:val="0"/>
          <w:color w:val="000000"/>
          <w:szCs w:val="32"/>
        </w:rPr>
      </w:pPr>
      <w:r>
        <w:rPr>
          <w:rFonts w:hint="eastAsia" w:ascii="仿宋_GB2312" w:hAnsi="仿宋"/>
          <w:snapToGrid w:val="0"/>
          <w:color w:val="000000"/>
          <w:szCs w:val="32"/>
        </w:rPr>
        <w:t>一、单位收支总体情况表</w:t>
      </w:r>
    </w:p>
    <w:p w14:paraId="32372BF5">
      <w:pPr>
        <w:adjustRightInd w:val="0"/>
        <w:snapToGrid w:val="0"/>
        <w:spacing w:line="560" w:lineRule="exact"/>
        <w:ind w:firstLine="640" w:firstLineChars="200"/>
        <w:textAlignment w:val="baseline"/>
        <w:rPr>
          <w:rFonts w:ascii="仿宋_GB2312" w:hAnsi="仿宋"/>
          <w:snapToGrid w:val="0"/>
          <w:color w:val="000000"/>
          <w:szCs w:val="32"/>
        </w:rPr>
      </w:pPr>
      <w:r>
        <w:rPr>
          <w:rFonts w:hint="eastAsia" w:ascii="仿宋_GB2312" w:hAnsi="仿宋"/>
          <w:snapToGrid w:val="0"/>
          <w:color w:val="000000"/>
          <w:szCs w:val="32"/>
        </w:rPr>
        <w:t>二、单位收入总体情况表</w:t>
      </w:r>
    </w:p>
    <w:p w14:paraId="34484A7A">
      <w:pPr>
        <w:adjustRightInd w:val="0"/>
        <w:snapToGrid w:val="0"/>
        <w:spacing w:line="560" w:lineRule="exact"/>
        <w:ind w:firstLine="640" w:firstLineChars="200"/>
        <w:textAlignment w:val="baseline"/>
        <w:rPr>
          <w:rFonts w:ascii="仿宋_GB2312" w:hAnsi="仿宋"/>
          <w:snapToGrid w:val="0"/>
          <w:color w:val="000000"/>
          <w:szCs w:val="32"/>
        </w:rPr>
      </w:pPr>
      <w:r>
        <w:rPr>
          <w:rFonts w:hint="eastAsia" w:ascii="仿宋_GB2312" w:hAnsi="仿宋"/>
          <w:snapToGrid w:val="0"/>
          <w:color w:val="000000"/>
          <w:szCs w:val="32"/>
        </w:rPr>
        <w:t>三、单位支出总体情况表</w:t>
      </w:r>
    </w:p>
    <w:p w14:paraId="52FF14E3">
      <w:pPr>
        <w:adjustRightInd w:val="0"/>
        <w:snapToGrid w:val="0"/>
        <w:spacing w:line="560" w:lineRule="exact"/>
        <w:ind w:firstLine="640" w:firstLineChars="200"/>
        <w:textAlignment w:val="baseline"/>
        <w:rPr>
          <w:rFonts w:ascii="仿宋_GB2312" w:hAnsi="仿宋"/>
          <w:snapToGrid w:val="0"/>
          <w:color w:val="000000"/>
          <w:szCs w:val="32"/>
        </w:rPr>
      </w:pPr>
      <w:r>
        <w:rPr>
          <w:rFonts w:hint="eastAsia" w:ascii="仿宋_GB2312" w:hAnsi="仿宋"/>
          <w:snapToGrid w:val="0"/>
          <w:color w:val="000000"/>
          <w:szCs w:val="32"/>
        </w:rPr>
        <w:t>四、财政拨款收支总体情况表</w:t>
      </w:r>
    </w:p>
    <w:p w14:paraId="600B783E">
      <w:pPr>
        <w:adjustRightInd w:val="0"/>
        <w:snapToGrid w:val="0"/>
        <w:spacing w:line="560" w:lineRule="exact"/>
        <w:ind w:firstLine="640" w:firstLineChars="200"/>
        <w:textAlignment w:val="baseline"/>
        <w:rPr>
          <w:rFonts w:ascii="仿宋_GB2312" w:hAnsi="仿宋"/>
          <w:snapToGrid w:val="0"/>
          <w:color w:val="000000"/>
          <w:szCs w:val="32"/>
        </w:rPr>
      </w:pPr>
      <w:r>
        <w:rPr>
          <w:rFonts w:hint="eastAsia" w:ascii="仿宋_GB2312" w:hAnsi="仿宋"/>
          <w:snapToGrid w:val="0"/>
          <w:color w:val="000000"/>
          <w:szCs w:val="32"/>
        </w:rPr>
        <w:t>五、一般公共预算支出情况表</w:t>
      </w:r>
    </w:p>
    <w:p w14:paraId="367E4BBC">
      <w:pPr>
        <w:adjustRightInd w:val="0"/>
        <w:snapToGrid w:val="0"/>
        <w:spacing w:line="560" w:lineRule="exact"/>
        <w:ind w:firstLine="640" w:firstLineChars="200"/>
        <w:textAlignment w:val="baseline"/>
        <w:rPr>
          <w:rFonts w:ascii="仿宋_GB2312" w:hAnsi="仿宋"/>
          <w:snapToGrid w:val="0"/>
          <w:color w:val="000000"/>
          <w:szCs w:val="32"/>
        </w:rPr>
      </w:pPr>
      <w:r>
        <w:rPr>
          <w:rFonts w:hint="eastAsia" w:ascii="仿宋_GB2312" w:hAnsi="仿宋"/>
          <w:snapToGrid w:val="0"/>
          <w:color w:val="000000"/>
          <w:szCs w:val="32"/>
        </w:rPr>
        <w:t>六、一般公共预算基本支出情况表</w:t>
      </w:r>
    </w:p>
    <w:p w14:paraId="685CDD5B">
      <w:pPr>
        <w:adjustRightInd w:val="0"/>
        <w:snapToGrid w:val="0"/>
        <w:spacing w:line="560" w:lineRule="exact"/>
        <w:ind w:left="640" w:leftChars="200"/>
        <w:textAlignment w:val="baseline"/>
        <w:rPr>
          <w:rFonts w:ascii="仿宋_GB2312" w:hAnsi="仿宋"/>
          <w:snapToGrid w:val="0"/>
          <w:color w:val="000000"/>
          <w:szCs w:val="32"/>
        </w:rPr>
      </w:pPr>
      <w:r>
        <w:rPr>
          <w:rFonts w:hint="eastAsia" w:ascii="仿宋_GB2312" w:hAnsi="仿宋"/>
          <w:snapToGrid w:val="0"/>
          <w:color w:val="000000"/>
          <w:szCs w:val="32"/>
        </w:rPr>
        <w:t>七、财政拨款“三公”经费、会议费和培训费支出情况表</w:t>
      </w:r>
    </w:p>
    <w:p w14:paraId="35F5A738">
      <w:pPr>
        <w:adjustRightInd w:val="0"/>
        <w:snapToGrid w:val="0"/>
        <w:spacing w:line="560" w:lineRule="exact"/>
        <w:ind w:left="640" w:leftChars="200"/>
        <w:textAlignment w:val="baseline"/>
        <w:rPr>
          <w:rFonts w:ascii="仿宋_GB2312" w:hAnsi="仿宋"/>
          <w:snapToGrid w:val="0"/>
          <w:color w:val="000000"/>
          <w:szCs w:val="32"/>
        </w:rPr>
      </w:pPr>
      <w:r>
        <w:rPr>
          <w:rFonts w:hint="eastAsia" w:ascii="仿宋_GB2312" w:hAnsi="仿宋"/>
          <w:snapToGrid w:val="0"/>
          <w:color w:val="000000"/>
          <w:szCs w:val="32"/>
        </w:rPr>
        <w:t>八、政府性基金预算支出情况表</w:t>
      </w:r>
    </w:p>
    <w:p w14:paraId="6623A28E">
      <w:pPr>
        <w:adjustRightInd w:val="0"/>
        <w:snapToGrid w:val="0"/>
        <w:spacing w:line="560" w:lineRule="exact"/>
        <w:ind w:firstLine="640" w:firstLineChars="200"/>
        <w:textAlignment w:val="baseline"/>
        <w:rPr>
          <w:rFonts w:ascii="仿宋_GB2312" w:hAnsi="仿宋"/>
          <w:snapToGrid w:val="0"/>
          <w:color w:val="000000"/>
          <w:szCs w:val="32"/>
        </w:rPr>
      </w:pPr>
      <w:r>
        <w:rPr>
          <w:rFonts w:hint="eastAsia" w:ascii="仿宋_GB2312" w:hAnsi="仿宋"/>
          <w:snapToGrid w:val="0"/>
          <w:color w:val="000000"/>
          <w:szCs w:val="32"/>
        </w:rPr>
        <w:t>九、国有资本经营预算支出情况表</w:t>
      </w:r>
    </w:p>
    <w:p w14:paraId="1A09219C">
      <w:pPr>
        <w:adjustRightInd w:val="0"/>
        <w:snapToGrid w:val="0"/>
        <w:spacing w:line="560" w:lineRule="exact"/>
        <w:ind w:firstLine="640" w:firstLineChars="200"/>
        <w:textAlignment w:val="baseline"/>
        <w:rPr>
          <w:rFonts w:ascii="仿宋_GB2312" w:hAnsi="仿宋"/>
          <w:snapToGrid w:val="0"/>
          <w:color w:val="000000"/>
          <w:szCs w:val="32"/>
        </w:rPr>
      </w:pPr>
      <w:r>
        <w:rPr>
          <w:rFonts w:hint="eastAsia" w:ascii="仿宋_GB2312" w:hAnsi="仿宋"/>
          <w:snapToGrid w:val="0"/>
          <w:color w:val="000000"/>
          <w:szCs w:val="32"/>
        </w:rPr>
        <w:t>十、自治区本级项目绩效目标公开表</w:t>
      </w:r>
    </w:p>
    <w:p w14:paraId="33B8165E">
      <w:pPr>
        <w:adjustRightInd w:val="0"/>
        <w:snapToGrid w:val="0"/>
        <w:spacing w:line="560" w:lineRule="exact"/>
        <w:ind w:firstLine="640" w:firstLineChars="200"/>
        <w:textAlignment w:val="baseline"/>
        <w:rPr>
          <w:rFonts w:ascii="仿宋_GB2312" w:hAnsi="宋体"/>
          <w:szCs w:val="32"/>
        </w:rPr>
      </w:pPr>
      <w:r>
        <w:rPr>
          <w:rFonts w:hint="eastAsia" w:ascii="仿宋_GB2312" w:hAnsi="宋体"/>
          <w:szCs w:val="32"/>
        </w:rPr>
        <w:t>十一、自治区对下转移支付项目绩效目标公开表</w:t>
      </w:r>
    </w:p>
    <w:p w14:paraId="312B17D7">
      <w:pPr>
        <w:adjustRightInd w:val="0"/>
        <w:snapToGrid w:val="0"/>
        <w:spacing w:line="560" w:lineRule="exact"/>
        <w:ind w:firstLine="640" w:firstLineChars="200"/>
        <w:textAlignment w:val="baseline"/>
        <w:rPr>
          <w:rFonts w:ascii="仿宋_GB2312" w:hAnsi="仿宋"/>
          <w:snapToGrid w:val="0"/>
          <w:color w:val="000000"/>
          <w:szCs w:val="32"/>
        </w:rPr>
      </w:pPr>
    </w:p>
    <w:p w14:paraId="43D1FDF5">
      <w:pPr>
        <w:adjustRightInd w:val="0"/>
        <w:snapToGrid w:val="0"/>
        <w:spacing w:line="560" w:lineRule="exact"/>
        <w:ind w:right="-333" w:rightChars="-104" w:firstLine="640" w:firstLineChars="200"/>
        <w:rPr>
          <w:rFonts w:ascii="黑体" w:hAnsi="宋体" w:eastAsia="黑体"/>
          <w:bCs/>
          <w:szCs w:val="32"/>
        </w:rPr>
      </w:pPr>
    </w:p>
    <w:p w14:paraId="3DD7F15B">
      <w:pPr>
        <w:adjustRightInd w:val="0"/>
        <w:snapToGrid w:val="0"/>
        <w:spacing w:line="560" w:lineRule="exact"/>
        <w:ind w:right="-333" w:rightChars="-104" w:firstLine="640" w:firstLineChars="200"/>
        <w:rPr>
          <w:rFonts w:ascii="黑体" w:hAnsi="宋体" w:eastAsia="黑体"/>
          <w:bCs/>
          <w:szCs w:val="32"/>
        </w:rPr>
      </w:pPr>
    </w:p>
    <w:p w14:paraId="1A7BA10E">
      <w:pPr>
        <w:adjustRightInd w:val="0"/>
        <w:snapToGrid w:val="0"/>
        <w:spacing w:line="560" w:lineRule="exact"/>
        <w:ind w:right="-333" w:rightChars="-104" w:firstLine="640" w:firstLineChars="200"/>
        <w:rPr>
          <w:rFonts w:ascii="黑体" w:hAnsi="宋体" w:eastAsia="黑体"/>
          <w:bCs/>
          <w:szCs w:val="32"/>
        </w:rPr>
      </w:pPr>
    </w:p>
    <w:p w14:paraId="1BAA96AF">
      <w:pPr>
        <w:adjustRightInd w:val="0"/>
        <w:snapToGrid w:val="0"/>
        <w:spacing w:line="560" w:lineRule="exact"/>
        <w:ind w:right="-333" w:rightChars="-104" w:firstLine="640" w:firstLineChars="200"/>
        <w:rPr>
          <w:rFonts w:ascii="黑体" w:hAnsi="宋体" w:eastAsia="黑体"/>
          <w:bCs/>
          <w:szCs w:val="32"/>
        </w:rPr>
      </w:pPr>
    </w:p>
    <w:p w14:paraId="70FC34FA">
      <w:pPr>
        <w:adjustRightInd w:val="0"/>
        <w:snapToGrid w:val="0"/>
        <w:spacing w:line="560" w:lineRule="exact"/>
        <w:ind w:right="-333" w:rightChars="-104" w:firstLine="640" w:firstLineChars="200"/>
        <w:rPr>
          <w:rFonts w:hint="eastAsia" w:ascii="黑体" w:hAnsi="宋体" w:eastAsia="黑体"/>
          <w:bCs/>
          <w:szCs w:val="32"/>
        </w:rPr>
      </w:pPr>
    </w:p>
    <w:p w14:paraId="410C77EC">
      <w:pPr>
        <w:adjustRightInd w:val="0"/>
        <w:snapToGrid w:val="0"/>
        <w:spacing w:line="560" w:lineRule="exact"/>
        <w:ind w:right="-333" w:rightChars="-104" w:firstLine="640" w:firstLineChars="200"/>
        <w:rPr>
          <w:rFonts w:ascii="黑体" w:hAnsi="宋体" w:eastAsia="黑体"/>
          <w:bCs/>
          <w:szCs w:val="32"/>
        </w:rPr>
      </w:pPr>
    </w:p>
    <w:p w14:paraId="3C0962C2">
      <w:pPr>
        <w:adjustRightInd w:val="0"/>
        <w:snapToGrid w:val="0"/>
        <w:spacing w:line="560" w:lineRule="exact"/>
        <w:ind w:right="-333" w:rightChars="-104" w:firstLine="640" w:firstLineChars="200"/>
        <w:rPr>
          <w:rFonts w:hint="eastAsia" w:ascii="黑体" w:hAnsi="宋体" w:eastAsia="黑体"/>
          <w:bCs/>
          <w:szCs w:val="32"/>
        </w:rPr>
      </w:pPr>
    </w:p>
    <w:p w14:paraId="0D9A3C25">
      <w:pPr>
        <w:adjustRightInd w:val="0"/>
        <w:snapToGrid w:val="0"/>
        <w:spacing w:line="560" w:lineRule="exact"/>
        <w:ind w:right="-333" w:rightChars="-104"/>
        <w:rPr>
          <w:rFonts w:hint="eastAsia" w:ascii="黑体" w:hAnsi="宋体" w:eastAsia="黑体"/>
          <w:bCs/>
          <w:szCs w:val="32"/>
        </w:rPr>
      </w:pPr>
    </w:p>
    <w:p w14:paraId="41B53919">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第一部分：单位概况</w:t>
      </w:r>
    </w:p>
    <w:p w14:paraId="22A07A6B">
      <w:pPr>
        <w:numPr>
          <w:ilvl w:val="0"/>
          <w:numId w:val="1"/>
        </w:numPr>
        <w:adjustRightInd w:val="0"/>
        <w:snapToGrid w:val="0"/>
        <w:spacing w:line="560" w:lineRule="exact"/>
        <w:textAlignment w:val="baseline"/>
        <w:rPr>
          <w:rFonts w:ascii="黑体" w:hAnsi="宋体" w:eastAsia="黑体"/>
          <w:szCs w:val="32"/>
        </w:rPr>
      </w:pPr>
      <w:r>
        <w:rPr>
          <w:rFonts w:hint="eastAsia" w:ascii="黑体" w:hAnsi="宋体" w:eastAsia="黑体"/>
          <w:szCs w:val="32"/>
        </w:rPr>
        <w:t>单位主要职能</w:t>
      </w:r>
    </w:p>
    <w:p w14:paraId="705B77CD">
      <w:pPr>
        <w:adjustRightInd w:val="0"/>
        <w:snapToGrid w:val="0"/>
        <w:spacing w:line="560" w:lineRule="exact"/>
        <w:ind w:firstLine="640" w:firstLineChars="200"/>
        <w:textAlignment w:val="baseline"/>
        <w:rPr>
          <w:rFonts w:ascii="仿宋_GB2312" w:hAnsi="仿宋"/>
          <w:snapToGrid w:val="0"/>
          <w:color w:val="000000"/>
          <w:szCs w:val="32"/>
        </w:rPr>
      </w:pPr>
      <w:r>
        <w:rPr>
          <w:rFonts w:hint="eastAsia" w:ascii="仿宋_GB2312" w:hAnsi="仿宋"/>
          <w:snapToGrid w:val="0"/>
          <w:color w:val="000000"/>
          <w:szCs w:val="32"/>
        </w:rPr>
        <w:t>主要为局机关提供后勤保障服务，具体内容有会议、餐饮、用车服务、物业管理、行政管理事务，包括机关基础建设、设备维修、消防治安等。</w:t>
      </w:r>
    </w:p>
    <w:p w14:paraId="275A3FFC">
      <w:pPr>
        <w:adjustRightInd w:val="0"/>
        <w:snapToGrid w:val="0"/>
        <w:spacing w:line="560" w:lineRule="exact"/>
        <w:ind w:firstLine="640" w:firstLineChars="200"/>
        <w:textAlignment w:val="baseline"/>
        <w:rPr>
          <w:rFonts w:ascii="黑体" w:hAnsi="黑体" w:eastAsia="黑体"/>
          <w:snapToGrid w:val="0"/>
          <w:color w:val="000000"/>
          <w:szCs w:val="32"/>
        </w:rPr>
      </w:pPr>
      <w:r>
        <w:rPr>
          <w:rFonts w:hint="eastAsia" w:ascii="黑体" w:hAnsi="黑体" w:eastAsia="黑体"/>
          <w:snapToGrid w:val="0"/>
          <w:color w:val="000000"/>
          <w:szCs w:val="32"/>
        </w:rPr>
        <w:t>二、机构设置情况</w:t>
      </w:r>
    </w:p>
    <w:p w14:paraId="2E4F68A2">
      <w:pPr>
        <w:adjustRightInd w:val="0"/>
        <w:snapToGrid w:val="0"/>
        <w:spacing w:line="560" w:lineRule="exact"/>
        <w:ind w:firstLine="640" w:firstLineChars="200"/>
        <w:textAlignment w:val="baseline"/>
        <w:rPr>
          <w:rFonts w:ascii="仿宋_GB2312" w:hAnsi="仿宋"/>
          <w:snapToGrid w:val="0"/>
          <w:color w:val="000000"/>
          <w:szCs w:val="32"/>
        </w:rPr>
      </w:pPr>
      <w:r>
        <w:rPr>
          <w:rFonts w:hint="eastAsia" w:ascii="仿宋_GB2312" w:hAnsi="仿宋"/>
          <w:snapToGrid w:val="0"/>
          <w:color w:val="000000"/>
          <w:szCs w:val="32"/>
        </w:rPr>
        <w:t>广西壮族自治区广播电视局机关服务中心为广西壮族自治区广播电视局的二级单位，</w:t>
      </w:r>
      <w:r>
        <w:rPr>
          <w:rFonts w:hint="eastAsia" w:ascii="仿宋_GB2312" w:hAnsi="宋体"/>
          <w:szCs w:val="32"/>
        </w:rPr>
        <w:t>公益一类事业单位</w:t>
      </w:r>
      <w:r>
        <w:rPr>
          <w:rFonts w:hint="eastAsia" w:ascii="仿宋_GB2312" w:hAnsi="仿宋"/>
          <w:snapToGrid w:val="0"/>
          <w:color w:val="000000"/>
          <w:szCs w:val="32"/>
        </w:rPr>
        <w:t>。</w:t>
      </w:r>
    </w:p>
    <w:p w14:paraId="61DBF331">
      <w:pPr>
        <w:adjustRightInd w:val="0"/>
        <w:snapToGrid w:val="0"/>
        <w:spacing w:line="560" w:lineRule="exact"/>
        <w:ind w:firstLine="640" w:firstLineChars="200"/>
        <w:textAlignment w:val="baseline"/>
        <w:rPr>
          <w:rFonts w:ascii="楷体_GB2312" w:hAnsi="仿宋" w:eastAsia="楷体_GB2312"/>
          <w:snapToGrid w:val="0"/>
          <w:color w:val="000000"/>
          <w:szCs w:val="32"/>
        </w:rPr>
      </w:pPr>
      <w:r>
        <w:rPr>
          <w:rFonts w:hint="eastAsia" w:ascii="楷体_GB2312" w:hAnsi="仿宋" w:eastAsia="楷体_GB2312"/>
          <w:snapToGrid w:val="0"/>
          <w:color w:val="000000"/>
          <w:szCs w:val="32"/>
        </w:rPr>
        <w:t>（一）机构设置。</w:t>
      </w:r>
    </w:p>
    <w:p w14:paraId="10989B11">
      <w:pPr>
        <w:adjustRightInd w:val="0"/>
        <w:snapToGrid w:val="0"/>
        <w:spacing w:line="560" w:lineRule="exact"/>
        <w:ind w:firstLine="640" w:firstLineChars="200"/>
        <w:textAlignment w:val="baseline"/>
        <w:rPr>
          <w:rFonts w:ascii="楷体_GB2312" w:hAnsi="仿宋" w:eastAsia="楷体_GB2312"/>
          <w:snapToGrid w:val="0"/>
          <w:color w:val="000000"/>
          <w:szCs w:val="32"/>
        </w:rPr>
      </w:pPr>
      <w:r>
        <w:rPr>
          <w:rFonts w:hint="eastAsia" w:ascii="仿宋_GB2312" w:hAnsi="仿宋"/>
          <w:snapToGrid w:val="0"/>
          <w:color w:val="000000"/>
          <w:szCs w:val="32"/>
        </w:rPr>
        <w:t>行政科、房产科、综合科、车队。</w:t>
      </w:r>
    </w:p>
    <w:p w14:paraId="37813DC6">
      <w:pPr>
        <w:adjustRightInd w:val="0"/>
        <w:snapToGrid w:val="0"/>
        <w:spacing w:line="560" w:lineRule="exact"/>
        <w:ind w:firstLine="640" w:firstLineChars="200"/>
        <w:textAlignment w:val="baseline"/>
        <w:rPr>
          <w:rFonts w:ascii="楷体_GB2312" w:hAnsi="仿宋" w:eastAsia="楷体_GB2312"/>
          <w:snapToGrid w:val="0"/>
          <w:color w:val="000000"/>
          <w:szCs w:val="32"/>
        </w:rPr>
      </w:pPr>
      <w:r>
        <w:rPr>
          <w:rFonts w:hint="eastAsia" w:ascii="楷体_GB2312" w:hAnsi="仿宋" w:eastAsia="楷体_GB2312"/>
          <w:snapToGrid w:val="0"/>
          <w:color w:val="000000"/>
          <w:szCs w:val="32"/>
        </w:rPr>
        <w:t>（二）人员构成。</w:t>
      </w:r>
    </w:p>
    <w:p w14:paraId="4A69304A">
      <w:pPr>
        <w:adjustRightInd w:val="0"/>
        <w:snapToGrid w:val="0"/>
        <w:spacing w:line="560" w:lineRule="exact"/>
        <w:ind w:firstLine="640" w:firstLineChars="200"/>
        <w:textAlignment w:val="baseline"/>
        <w:rPr>
          <w:rFonts w:ascii="仿宋_GB2312" w:hAnsi="仿宋"/>
          <w:snapToGrid w:val="0"/>
          <w:color w:val="000000"/>
          <w:szCs w:val="32"/>
        </w:rPr>
      </w:pPr>
      <w:r>
        <w:rPr>
          <w:rFonts w:hint="eastAsia" w:ascii="仿宋_GB2312" w:hAnsi="仿宋"/>
          <w:snapToGrid w:val="0"/>
          <w:color w:val="000000"/>
          <w:szCs w:val="32"/>
        </w:rPr>
        <w:t>1.在职人员构成</w:t>
      </w:r>
    </w:p>
    <w:p w14:paraId="6B5E8D63">
      <w:pPr>
        <w:adjustRightInd w:val="0"/>
        <w:snapToGrid w:val="0"/>
        <w:spacing w:line="560" w:lineRule="exact"/>
        <w:ind w:firstLine="640" w:firstLineChars="200"/>
        <w:textAlignment w:val="baseline"/>
        <w:rPr>
          <w:rFonts w:ascii="仿宋_GB2312" w:hAnsi="仿宋"/>
          <w:snapToGrid w:val="0"/>
          <w:color w:val="auto"/>
          <w:szCs w:val="32"/>
        </w:rPr>
      </w:pPr>
      <w:r>
        <w:rPr>
          <w:rFonts w:hint="eastAsia" w:ascii="仿宋_GB2312" w:hAnsi="仿宋"/>
          <w:snapToGrid w:val="0"/>
          <w:color w:val="auto"/>
          <w:szCs w:val="32"/>
        </w:rPr>
        <w:t>202</w:t>
      </w:r>
      <w:r>
        <w:rPr>
          <w:rFonts w:hint="eastAsia" w:ascii="仿宋_GB2312" w:hAnsi="仿宋"/>
          <w:snapToGrid w:val="0"/>
          <w:color w:val="auto"/>
          <w:szCs w:val="32"/>
          <w:lang w:val="en-US" w:eastAsia="zh-CN"/>
        </w:rPr>
        <w:t>6</w:t>
      </w:r>
      <w:r>
        <w:rPr>
          <w:rFonts w:hint="eastAsia" w:ascii="仿宋_GB2312" w:hAnsi="仿宋"/>
          <w:snapToGrid w:val="0"/>
          <w:color w:val="auto"/>
          <w:szCs w:val="32"/>
        </w:rPr>
        <w:t>年纳入部门预算人员事业编制数15人，其中：机关服务中心事业编制3人，工勤人员编制数（后勤服务控制数）12人；截止</w:t>
      </w:r>
      <w:r>
        <w:rPr>
          <w:rFonts w:hint="eastAsia" w:ascii="仿宋_GB2312" w:hAnsi="仿宋"/>
          <w:snapToGrid w:val="0"/>
          <w:color w:val="auto"/>
          <w:szCs w:val="32"/>
          <w:lang w:eastAsia="zh-CN"/>
        </w:rPr>
        <w:t>202</w:t>
      </w:r>
      <w:r>
        <w:rPr>
          <w:rFonts w:hint="eastAsia" w:ascii="仿宋_GB2312" w:hAnsi="仿宋"/>
          <w:snapToGrid w:val="0"/>
          <w:color w:val="auto"/>
          <w:szCs w:val="32"/>
          <w:lang w:val="en-US" w:eastAsia="zh-CN"/>
        </w:rPr>
        <w:t>5</w:t>
      </w:r>
      <w:r>
        <w:rPr>
          <w:rFonts w:hint="eastAsia" w:ascii="仿宋_GB2312" w:hAnsi="仿宋"/>
          <w:snapToGrid w:val="0"/>
          <w:color w:val="auto"/>
          <w:szCs w:val="32"/>
        </w:rPr>
        <w:t>年7月在职实有人数3</w:t>
      </w:r>
      <w:r>
        <w:rPr>
          <w:rFonts w:hint="eastAsia" w:ascii="仿宋_GB2312" w:hAnsi="仿宋"/>
          <w:snapToGrid w:val="0"/>
          <w:color w:val="auto"/>
          <w:szCs w:val="32"/>
          <w:lang w:val="en-US" w:eastAsia="zh-CN"/>
        </w:rPr>
        <w:t>3</w:t>
      </w:r>
      <w:r>
        <w:rPr>
          <w:rFonts w:hint="eastAsia" w:ascii="仿宋_GB2312" w:hAnsi="仿宋"/>
          <w:snapToGrid w:val="0"/>
          <w:color w:val="auto"/>
          <w:szCs w:val="32"/>
        </w:rPr>
        <w:t>人,其中：在职在编1</w:t>
      </w:r>
      <w:r>
        <w:rPr>
          <w:rFonts w:hint="eastAsia" w:ascii="仿宋_GB2312" w:hAnsi="仿宋"/>
          <w:snapToGrid w:val="0"/>
          <w:color w:val="auto"/>
          <w:szCs w:val="32"/>
          <w:lang w:val="en-US" w:eastAsia="zh-CN"/>
        </w:rPr>
        <w:t>5</w:t>
      </w:r>
      <w:r>
        <w:rPr>
          <w:rFonts w:hint="eastAsia" w:ascii="仿宋_GB2312" w:hAnsi="仿宋"/>
          <w:snapToGrid w:val="0"/>
          <w:color w:val="auto"/>
          <w:szCs w:val="32"/>
        </w:rPr>
        <w:t>人，编外人员18人。</w:t>
      </w:r>
    </w:p>
    <w:p w14:paraId="2184C993">
      <w:pPr>
        <w:adjustRightInd w:val="0"/>
        <w:snapToGrid w:val="0"/>
        <w:spacing w:line="560" w:lineRule="exact"/>
        <w:ind w:firstLine="640" w:firstLineChars="200"/>
        <w:textAlignment w:val="baseline"/>
        <w:rPr>
          <w:rFonts w:ascii="仿宋_GB2312" w:hAnsi="仿宋"/>
          <w:snapToGrid w:val="0"/>
          <w:color w:val="000000"/>
          <w:szCs w:val="32"/>
        </w:rPr>
      </w:pPr>
      <w:r>
        <w:rPr>
          <w:rFonts w:hint="eastAsia" w:ascii="仿宋_GB2312" w:hAnsi="仿宋"/>
          <w:snapToGrid w:val="0"/>
          <w:color w:val="000000"/>
          <w:szCs w:val="32"/>
        </w:rPr>
        <w:t>2.退休人员构成</w:t>
      </w:r>
    </w:p>
    <w:p w14:paraId="3EC85F87">
      <w:pPr>
        <w:adjustRightInd w:val="0"/>
        <w:snapToGrid w:val="0"/>
        <w:spacing w:line="560" w:lineRule="exact"/>
        <w:ind w:firstLine="640" w:firstLineChars="200"/>
        <w:textAlignment w:val="baseline"/>
        <w:rPr>
          <w:rFonts w:ascii="仿宋_GB2312" w:hAnsi="仿宋"/>
          <w:snapToGrid w:val="0"/>
          <w:color w:val="000000"/>
          <w:szCs w:val="32"/>
        </w:rPr>
      </w:pPr>
      <w:r>
        <w:rPr>
          <w:rFonts w:hint="eastAsia" w:ascii="仿宋_GB2312" w:hAnsi="仿宋"/>
          <w:snapToGrid w:val="0"/>
          <w:color w:val="000000"/>
          <w:szCs w:val="32"/>
          <w:lang w:eastAsia="zh-CN"/>
        </w:rPr>
        <w:t>2026</w:t>
      </w:r>
      <w:r>
        <w:rPr>
          <w:rFonts w:hint="eastAsia" w:ascii="仿宋_GB2312" w:hAnsi="仿宋"/>
          <w:snapToGrid w:val="0"/>
          <w:color w:val="000000"/>
          <w:szCs w:val="32"/>
        </w:rPr>
        <w:t>年纳入部门预算退休人员共1</w:t>
      </w:r>
      <w:r>
        <w:rPr>
          <w:rFonts w:ascii="仿宋_GB2312" w:hAnsi="仿宋"/>
          <w:snapToGrid w:val="0"/>
          <w:color w:val="000000"/>
          <w:szCs w:val="32"/>
        </w:rPr>
        <w:t>6</w:t>
      </w:r>
      <w:r>
        <w:rPr>
          <w:rFonts w:hint="eastAsia" w:ascii="仿宋_GB2312" w:hAnsi="仿宋"/>
          <w:snapToGrid w:val="0"/>
          <w:color w:val="000000"/>
          <w:szCs w:val="32"/>
        </w:rPr>
        <w:t>人。</w:t>
      </w:r>
    </w:p>
    <w:p w14:paraId="2B8931EC">
      <w:pPr>
        <w:tabs>
          <w:tab w:val="center" w:pos="4475"/>
        </w:tabs>
        <w:spacing w:line="560" w:lineRule="exact"/>
        <w:ind w:firstLine="645"/>
        <w:rPr>
          <w:rFonts w:hint="eastAsia" w:ascii="仿宋_GB2312" w:hAnsi="仿宋_GB2312" w:cs="仿宋_GB2312"/>
          <w:szCs w:val="32"/>
        </w:rPr>
      </w:pPr>
      <w:r>
        <w:rPr>
          <w:rFonts w:hint="eastAsia" w:ascii="黑体" w:eastAsia="黑体"/>
          <w:szCs w:val="32"/>
        </w:rPr>
        <w:t>第二部分：广西壮族自治区广播电视局机关服务中心</w:t>
      </w:r>
      <w:r>
        <w:rPr>
          <w:rFonts w:hint="eastAsia" w:ascii="黑体" w:eastAsia="黑体"/>
          <w:szCs w:val="32"/>
          <w:lang w:eastAsia="zh-CN"/>
        </w:rPr>
        <w:t>2026</w:t>
      </w:r>
      <w:r>
        <w:rPr>
          <w:rFonts w:hint="eastAsia" w:ascii="黑体" w:hAnsi="宋体" w:eastAsia="黑体"/>
          <w:szCs w:val="32"/>
        </w:rPr>
        <w:t>年</w:t>
      </w:r>
      <w:r>
        <w:rPr>
          <w:rFonts w:hint="eastAsia" w:ascii="黑体" w:eastAsia="黑体"/>
          <w:szCs w:val="32"/>
        </w:rPr>
        <w:t>单位预算情况说明</w:t>
      </w:r>
    </w:p>
    <w:p w14:paraId="770D8C42">
      <w:pPr>
        <w:tabs>
          <w:tab w:val="center" w:pos="4475"/>
        </w:tabs>
        <w:spacing w:line="560" w:lineRule="exact"/>
        <w:ind w:firstLine="645"/>
        <w:rPr>
          <w:rFonts w:hint="eastAsia" w:ascii="黑体" w:eastAsia="黑体"/>
          <w:szCs w:val="32"/>
        </w:rPr>
      </w:pPr>
      <w:r>
        <w:rPr>
          <w:rFonts w:hint="eastAsia" w:ascii="黑体" w:eastAsia="黑体"/>
          <w:szCs w:val="32"/>
        </w:rPr>
        <w:t>一、单位预算收支增减变化情况说明</w:t>
      </w:r>
    </w:p>
    <w:p w14:paraId="4E4C2A0E">
      <w:pPr>
        <w:widowControl w:val="0"/>
        <w:adjustRightInd w:val="0"/>
        <w:snapToGrid w:val="0"/>
        <w:spacing w:line="570" w:lineRule="exact"/>
        <w:ind w:firstLine="640" w:firstLineChars="200"/>
        <w:jc w:val="both"/>
        <w:rPr>
          <w:rFonts w:ascii="宋体" w:hAnsi="宋体" w:cs="宋体"/>
          <w:snapToGrid w:val="0"/>
          <w:color w:val="auto"/>
          <w:kern w:val="2"/>
          <w:sz w:val="32"/>
          <w:szCs w:val="32"/>
        </w:rPr>
      </w:pPr>
      <w:r>
        <w:rPr>
          <w:rFonts w:hint="eastAsia" w:ascii="仿宋_GB2312" w:hAnsi="仿宋"/>
          <w:snapToGrid w:val="0"/>
          <w:color w:val="000000"/>
          <w:szCs w:val="32"/>
        </w:rPr>
        <w:t>我单位</w:t>
      </w:r>
      <w:r>
        <w:rPr>
          <w:rFonts w:hint="eastAsia" w:ascii="仿宋_GB2312" w:hAnsi="仿宋"/>
          <w:snapToGrid w:val="0"/>
          <w:color w:val="000000"/>
          <w:szCs w:val="32"/>
          <w:lang w:eastAsia="zh-CN"/>
        </w:rPr>
        <w:t>2026</w:t>
      </w:r>
      <w:r>
        <w:rPr>
          <w:rFonts w:ascii="仿宋_GB2312" w:hAnsi="仿宋"/>
          <w:snapToGrid w:val="0"/>
          <w:color w:val="000000"/>
          <w:szCs w:val="32"/>
        </w:rPr>
        <w:t>年</w:t>
      </w:r>
      <w:r>
        <w:rPr>
          <w:rFonts w:hint="eastAsia" w:ascii="仿宋_GB2312" w:hAnsi="仿宋"/>
          <w:snapToGrid w:val="0"/>
          <w:color w:val="000000"/>
          <w:szCs w:val="32"/>
        </w:rPr>
        <w:t>总收入</w:t>
      </w:r>
      <w:r>
        <w:rPr>
          <w:rFonts w:hint="eastAsia" w:ascii="仿宋_GB2312" w:hAnsi="仿宋"/>
          <w:snapToGrid w:val="0"/>
          <w:color w:val="000000"/>
          <w:szCs w:val="32"/>
          <w:lang w:val="en-US" w:eastAsia="zh-CN"/>
        </w:rPr>
        <w:t>825.49</w:t>
      </w:r>
      <w:r>
        <w:rPr>
          <w:rFonts w:hint="eastAsia" w:ascii="仿宋_GB2312" w:hAnsi="仿宋"/>
          <w:snapToGrid w:val="0"/>
          <w:color w:val="000000"/>
          <w:szCs w:val="32"/>
        </w:rPr>
        <w:t>万元</w:t>
      </w:r>
      <w:r>
        <w:rPr>
          <w:rFonts w:hint="eastAsia" w:ascii="宋体" w:hAnsi="宋体" w:cs="宋体"/>
          <w:color w:val="000000"/>
          <w:kern w:val="0"/>
          <w:szCs w:val="32"/>
        </w:rPr>
        <w:t>（不含财政拨款上年未列支结转收支数）</w:t>
      </w:r>
      <w:r>
        <w:rPr>
          <w:rFonts w:hint="eastAsia" w:ascii="仿宋_GB2312" w:hAnsi="仿宋"/>
          <w:snapToGrid w:val="0"/>
          <w:color w:val="000000"/>
          <w:szCs w:val="32"/>
        </w:rPr>
        <w:t>，较上年</w:t>
      </w:r>
      <w:r>
        <w:rPr>
          <w:rFonts w:hint="eastAsia" w:ascii="仿宋_GB2312" w:hAnsi="仿宋"/>
          <w:snapToGrid w:val="0"/>
          <w:color w:val="000000"/>
          <w:szCs w:val="32"/>
          <w:lang w:val="en-US" w:eastAsia="zh-CN"/>
        </w:rPr>
        <w:t>增加17.33</w:t>
      </w:r>
      <w:r>
        <w:rPr>
          <w:rFonts w:hint="eastAsia" w:ascii="仿宋_GB2312" w:hAnsi="仿宋"/>
          <w:snapToGrid w:val="0"/>
          <w:color w:val="000000"/>
          <w:szCs w:val="32"/>
        </w:rPr>
        <w:t>万元，</w:t>
      </w:r>
      <w:r>
        <w:rPr>
          <w:rFonts w:hint="eastAsia" w:ascii="仿宋_GB2312" w:hAnsi="仿宋"/>
          <w:snapToGrid w:val="0"/>
          <w:color w:val="000000"/>
          <w:szCs w:val="32"/>
          <w:lang w:val="en-US" w:eastAsia="zh-CN"/>
        </w:rPr>
        <w:t>增长2.14</w:t>
      </w:r>
      <w:r>
        <w:rPr>
          <w:rFonts w:hint="eastAsia" w:ascii="仿宋_GB2312" w:hAnsi="仿宋"/>
          <w:snapToGrid w:val="0"/>
          <w:color w:val="000000"/>
          <w:szCs w:val="32"/>
        </w:rPr>
        <w:t>%，</w:t>
      </w:r>
      <w:r>
        <w:rPr>
          <w:rFonts w:hint="eastAsia" w:ascii="仿宋_GB2312" w:hAnsi="仿宋"/>
          <w:snapToGrid w:val="0"/>
          <w:color w:val="000000"/>
          <w:szCs w:val="32"/>
          <w:highlight w:val="none"/>
        </w:rPr>
        <w:t>主要原因是</w:t>
      </w:r>
      <w:r>
        <w:rPr>
          <w:rFonts w:hint="eastAsia" w:ascii="宋体" w:hAnsi="宋体" w:cs="宋体"/>
          <w:snapToGrid w:val="0"/>
          <w:color w:val="auto"/>
          <w:kern w:val="2"/>
          <w:sz w:val="32"/>
          <w:szCs w:val="32"/>
          <w:highlight w:val="none"/>
        </w:rPr>
        <w:t>在职人数较上年增加及根据自治区人社厅有关文件要</w:t>
      </w:r>
      <w:r>
        <w:rPr>
          <w:rFonts w:hint="eastAsia" w:ascii="宋体" w:hAnsi="宋体" w:cs="宋体"/>
          <w:snapToGrid w:val="0"/>
          <w:color w:val="auto"/>
          <w:kern w:val="2"/>
          <w:sz w:val="32"/>
          <w:szCs w:val="32"/>
        </w:rPr>
        <w:t>求调增基本工资标准，</w:t>
      </w:r>
      <w:r>
        <w:rPr>
          <w:rFonts w:hint="eastAsia" w:ascii="宋体" w:hAnsi="宋体" w:cs="宋体"/>
          <w:snapToGrid w:val="0"/>
          <w:color w:val="auto"/>
          <w:sz w:val="32"/>
          <w:szCs w:val="32"/>
        </w:rPr>
        <w:t>引起工资总额增加，五险二金</w:t>
      </w:r>
      <w:r>
        <w:rPr>
          <w:rFonts w:hint="eastAsia" w:ascii="宋体" w:hAnsi="宋体" w:cs="宋体"/>
          <w:snapToGrid w:val="0"/>
          <w:color w:val="auto"/>
          <w:sz w:val="32"/>
          <w:szCs w:val="32"/>
          <w:lang w:eastAsia="zh-CN"/>
        </w:rPr>
        <w:t>、</w:t>
      </w:r>
      <w:r>
        <w:rPr>
          <w:rFonts w:hint="eastAsia" w:ascii="宋体" w:hAnsi="宋体" w:cs="宋体"/>
          <w:color w:val="auto"/>
          <w:sz w:val="32"/>
          <w:szCs w:val="32"/>
        </w:rPr>
        <w:t>其他对个人和家庭的补助支出</w:t>
      </w:r>
      <w:r>
        <w:rPr>
          <w:rFonts w:hint="eastAsia" w:ascii="宋体" w:hAnsi="宋体" w:cs="宋体"/>
          <w:snapToGrid w:val="0"/>
          <w:color w:val="auto"/>
          <w:sz w:val="32"/>
          <w:szCs w:val="32"/>
        </w:rPr>
        <w:t>等由工资总额计提的预算相应增加，</w:t>
      </w:r>
      <w:r>
        <w:rPr>
          <w:rFonts w:hint="eastAsia" w:ascii="宋体" w:hAnsi="宋体" w:cs="宋体"/>
          <w:snapToGrid w:val="0"/>
          <w:color w:val="auto"/>
          <w:sz w:val="32"/>
          <w:szCs w:val="32"/>
          <w:lang w:val="en-US" w:eastAsia="zh-CN"/>
        </w:rPr>
        <w:t>预算安排</w:t>
      </w:r>
      <w:r>
        <w:rPr>
          <w:rFonts w:hint="eastAsia" w:ascii="宋体" w:hAnsi="宋体" w:cs="宋体"/>
          <w:snapToGrid w:val="0"/>
          <w:color w:val="auto"/>
          <w:sz w:val="32"/>
          <w:szCs w:val="32"/>
        </w:rPr>
        <w:t>相应增加。</w:t>
      </w:r>
    </w:p>
    <w:p w14:paraId="78B3EC55">
      <w:pPr>
        <w:autoSpaceDE w:val="0"/>
        <w:autoSpaceDN w:val="0"/>
        <w:adjustRightInd w:val="0"/>
        <w:snapToGrid w:val="0"/>
        <w:spacing w:line="560" w:lineRule="exact"/>
        <w:ind w:firstLine="640" w:firstLineChars="200"/>
        <w:rPr>
          <w:rFonts w:ascii="宋体" w:hAnsi="宋体" w:cs="宋体"/>
          <w:color w:val="000000"/>
          <w:kern w:val="0"/>
          <w:szCs w:val="32"/>
        </w:rPr>
      </w:pPr>
      <w:r>
        <w:rPr>
          <w:rFonts w:hint="eastAsia" w:ascii="宋体" w:hAnsi="宋体" w:cs="宋体"/>
          <w:color w:val="000000"/>
          <w:kern w:val="0"/>
          <w:szCs w:val="32"/>
        </w:rPr>
        <w:t>我单位</w:t>
      </w:r>
      <w:r>
        <w:rPr>
          <w:rFonts w:hint="eastAsia" w:ascii="宋体" w:hAnsi="宋体" w:cs="宋体"/>
          <w:color w:val="000000"/>
          <w:kern w:val="0"/>
          <w:szCs w:val="32"/>
          <w:lang w:eastAsia="zh-CN"/>
        </w:rPr>
        <w:t>2026</w:t>
      </w:r>
      <w:r>
        <w:rPr>
          <w:rFonts w:hint="eastAsia" w:ascii="宋体" w:hAnsi="宋体" w:cs="宋体"/>
          <w:color w:val="000000"/>
          <w:kern w:val="0"/>
          <w:szCs w:val="32"/>
        </w:rPr>
        <w:t>年总支出</w:t>
      </w:r>
      <w:r>
        <w:rPr>
          <w:rFonts w:hint="eastAsia" w:ascii="仿宋_GB2312" w:hAnsi="仿宋"/>
          <w:snapToGrid w:val="0"/>
          <w:color w:val="000000"/>
          <w:szCs w:val="32"/>
          <w:lang w:val="en-US" w:eastAsia="zh-CN"/>
        </w:rPr>
        <w:t>825.49</w:t>
      </w:r>
      <w:r>
        <w:rPr>
          <w:rFonts w:hint="eastAsia" w:ascii="宋体" w:hAnsi="宋体" w:cs="宋体"/>
          <w:color w:val="000000"/>
          <w:kern w:val="0"/>
          <w:szCs w:val="32"/>
        </w:rPr>
        <w:t>万元（不含财政拨款上年未列支结转收支数），</w:t>
      </w:r>
      <w:r>
        <w:rPr>
          <w:rFonts w:hint="eastAsia" w:ascii="仿宋_GB2312" w:hAnsi="仿宋"/>
          <w:snapToGrid w:val="0"/>
          <w:color w:val="000000"/>
          <w:szCs w:val="32"/>
        </w:rPr>
        <w:t>较上年</w:t>
      </w:r>
      <w:r>
        <w:rPr>
          <w:rFonts w:hint="eastAsia" w:ascii="仿宋_GB2312" w:hAnsi="仿宋"/>
          <w:snapToGrid w:val="0"/>
          <w:color w:val="000000"/>
          <w:szCs w:val="32"/>
          <w:lang w:val="en-US" w:eastAsia="zh-CN"/>
        </w:rPr>
        <w:t>增加17.33</w:t>
      </w:r>
      <w:r>
        <w:rPr>
          <w:rFonts w:hint="eastAsia" w:ascii="仿宋_GB2312" w:hAnsi="仿宋"/>
          <w:snapToGrid w:val="0"/>
          <w:color w:val="000000"/>
          <w:szCs w:val="32"/>
        </w:rPr>
        <w:t>万元，</w:t>
      </w:r>
      <w:r>
        <w:rPr>
          <w:rFonts w:hint="eastAsia" w:ascii="仿宋_GB2312" w:hAnsi="仿宋"/>
          <w:snapToGrid w:val="0"/>
          <w:color w:val="000000"/>
          <w:szCs w:val="32"/>
          <w:lang w:val="en-US" w:eastAsia="zh-CN"/>
        </w:rPr>
        <w:t>增长2.14</w:t>
      </w:r>
      <w:r>
        <w:rPr>
          <w:rFonts w:hint="eastAsia" w:ascii="仿宋_GB2312" w:hAnsi="仿宋"/>
          <w:snapToGrid w:val="0"/>
          <w:color w:val="000000"/>
          <w:szCs w:val="32"/>
        </w:rPr>
        <w:t>%</w:t>
      </w:r>
      <w:r>
        <w:rPr>
          <w:rFonts w:hint="eastAsia" w:ascii="宋体" w:hAnsi="宋体" w:cs="宋体"/>
          <w:color w:val="000000"/>
          <w:kern w:val="0"/>
          <w:szCs w:val="32"/>
        </w:rPr>
        <w:t>。总支出</w:t>
      </w:r>
      <w:r>
        <w:rPr>
          <w:rFonts w:hint="eastAsia" w:ascii="宋体" w:hAnsi="宋体" w:cs="宋体"/>
          <w:color w:val="000000"/>
          <w:kern w:val="0"/>
          <w:szCs w:val="32"/>
          <w:lang w:val="en-US" w:eastAsia="zh-CN"/>
        </w:rPr>
        <w:t>增长</w:t>
      </w:r>
      <w:r>
        <w:rPr>
          <w:rFonts w:hint="eastAsia" w:ascii="宋体" w:hAnsi="宋体" w:cs="宋体"/>
          <w:color w:val="000000"/>
          <w:kern w:val="0"/>
          <w:szCs w:val="32"/>
        </w:rPr>
        <w:t>的主要原因与总收入</w:t>
      </w:r>
      <w:r>
        <w:rPr>
          <w:rFonts w:hint="eastAsia" w:ascii="宋体" w:hAnsi="宋体" w:cs="宋体"/>
          <w:color w:val="000000"/>
          <w:kern w:val="0"/>
          <w:szCs w:val="32"/>
          <w:lang w:val="en-US" w:eastAsia="zh-CN"/>
        </w:rPr>
        <w:t>增长</w:t>
      </w:r>
      <w:r>
        <w:rPr>
          <w:rFonts w:hint="eastAsia" w:ascii="宋体" w:hAnsi="宋体" w:cs="宋体"/>
          <w:color w:val="000000"/>
          <w:kern w:val="0"/>
          <w:szCs w:val="32"/>
        </w:rPr>
        <w:t>的主要原因相同。</w:t>
      </w:r>
    </w:p>
    <w:p w14:paraId="209E280C">
      <w:pPr>
        <w:tabs>
          <w:tab w:val="center" w:pos="4475"/>
        </w:tabs>
        <w:spacing w:line="560" w:lineRule="exact"/>
        <w:ind w:firstLine="645"/>
        <w:rPr>
          <w:rFonts w:hint="eastAsia" w:ascii="黑体" w:eastAsia="黑体"/>
          <w:szCs w:val="32"/>
        </w:rPr>
      </w:pPr>
      <w:r>
        <w:rPr>
          <w:rFonts w:hint="eastAsia" w:ascii="黑体" w:eastAsia="黑体"/>
          <w:szCs w:val="32"/>
        </w:rPr>
        <w:t>二、单位预算收入总体情况说明</w:t>
      </w:r>
    </w:p>
    <w:p w14:paraId="391EAFE4">
      <w:pPr>
        <w:adjustRightInd w:val="0"/>
        <w:snapToGrid w:val="0"/>
        <w:spacing w:line="560" w:lineRule="exact"/>
        <w:ind w:firstLine="640" w:firstLineChars="200"/>
        <w:textAlignment w:val="baseline"/>
        <w:rPr>
          <w:rFonts w:ascii="仿宋_GB2312" w:hAnsi="仿宋"/>
          <w:snapToGrid w:val="0"/>
          <w:color w:val="000000"/>
          <w:szCs w:val="32"/>
        </w:rPr>
      </w:pPr>
      <w:r>
        <w:rPr>
          <w:rFonts w:hint="eastAsia" w:ascii="仿宋_GB2312" w:hAnsi="宋体"/>
          <w:szCs w:val="32"/>
        </w:rPr>
        <w:t>我单位</w:t>
      </w:r>
      <w:r>
        <w:rPr>
          <w:rFonts w:hint="eastAsia" w:ascii="仿宋_GB2312" w:hAnsi="宋体"/>
          <w:szCs w:val="32"/>
          <w:lang w:eastAsia="zh-CN"/>
        </w:rPr>
        <w:t>2026</w:t>
      </w:r>
      <w:r>
        <w:rPr>
          <w:rFonts w:ascii="仿宋_GB2312" w:hAnsi="宋体"/>
          <w:szCs w:val="32"/>
        </w:rPr>
        <w:t>年</w:t>
      </w:r>
      <w:r>
        <w:rPr>
          <w:rFonts w:hint="eastAsia" w:ascii="仿宋_GB2312"/>
          <w:szCs w:val="32"/>
        </w:rPr>
        <w:t>总收入</w:t>
      </w:r>
      <w:r>
        <w:rPr>
          <w:rFonts w:hint="eastAsia" w:ascii="仿宋_GB2312" w:hAnsi="仿宋"/>
          <w:snapToGrid w:val="0"/>
          <w:color w:val="000000"/>
          <w:szCs w:val="32"/>
          <w:lang w:val="en-US" w:eastAsia="zh-CN"/>
        </w:rPr>
        <w:t>825.49</w:t>
      </w:r>
      <w:r>
        <w:rPr>
          <w:rFonts w:hint="eastAsia" w:ascii="宋体" w:hAnsi="宋体" w:cs="宋体"/>
          <w:color w:val="000000"/>
          <w:kern w:val="0"/>
          <w:szCs w:val="32"/>
        </w:rPr>
        <w:t>万元</w:t>
      </w:r>
      <w:r>
        <w:rPr>
          <w:rFonts w:hint="eastAsia" w:ascii="仿宋_GB2312"/>
          <w:szCs w:val="32"/>
        </w:rPr>
        <w:t>，</w:t>
      </w:r>
      <w:r>
        <w:rPr>
          <w:rFonts w:hint="eastAsia" w:ascii="仿宋_GB2312" w:hAnsi="仿宋"/>
          <w:snapToGrid w:val="0"/>
          <w:color w:val="000000"/>
          <w:szCs w:val="32"/>
        </w:rPr>
        <w:t>较上年</w:t>
      </w:r>
      <w:r>
        <w:rPr>
          <w:rFonts w:hint="eastAsia" w:ascii="仿宋_GB2312" w:hAnsi="仿宋"/>
          <w:snapToGrid w:val="0"/>
          <w:color w:val="000000"/>
          <w:szCs w:val="32"/>
          <w:lang w:val="en-US" w:eastAsia="zh-CN"/>
        </w:rPr>
        <w:t>增加17.33</w:t>
      </w:r>
      <w:r>
        <w:rPr>
          <w:rFonts w:hint="eastAsia" w:ascii="仿宋_GB2312" w:hAnsi="仿宋"/>
          <w:snapToGrid w:val="0"/>
          <w:color w:val="000000"/>
          <w:szCs w:val="32"/>
        </w:rPr>
        <w:t>万元，</w:t>
      </w:r>
      <w:r>
        <w:rPr>
          <w:rFonts w:hint="eastAsia" w:ascii="仿宋_GB2312" w:hAnsi="仿宋"/>
          <w:snapToGrid w:val="0"/>
          <w:color w:val="000000"/>
          <w:szCs w:val="32"/>
          <w:lang w:val="en-US" w:eastAsia="zh-CN"/>
        </w:rPr>
        <w:t>增长2.14</w:t>
      </w:r>
      <w:r>
        <w:rPr>
          <w:rFonts w:hint="eastAsia" w:ascii="仿宋_GB2312" w:hAnsi="仿宋"/>
          <w:snapToGrid w:val="0"/>
          <w:color w:val="000000"/>
          <w:szCs w:val="32"/>
        </w:rPr>
        <w:t>%。</w:t>
      </w:r>
      <w:r>
        <w:rPr>
          <w:rFonts w:hint="eastAsia" w:ascii="仿宋_GB2312"/>
          <w:szCs w:val="32"/>
        </w:rPr>
        <w:t>单位收入主要包括:</w:t>
      </w:r>
    </w:p>
    <w:p w14:paraId="21FEE9A8">
      <w:pPr>
        <w:adjustRightInd w:val="0"/>
        <w:snapToGrid w:val="0"/>
        <w:spacing w:line="560" w:lineRule="exact"/>
        <w:ind w:firstLine="640" w:firstLineChars="200"/>
        <w:textAlignment w:val="baseline"/>
        <w:rPr>
          <w:rFonts w:ascii="楷体_GB2312" w:hAnsi="仿宋" w:eastAsia="楷体_GB2312"/>
          <w:snapToGrid w:val="0"/>
          <w:color w:val="000000"/>
          <w:szCs w:val="32"/>
        </w:rPr>
      </w:pPr>
      <w:r>
        <w:rPr>
          <w:rFonts w:hint="eastAsia" w:ascii="楷体_GB2312" w:hAnsi="仿宋" w:eastAsia="楷体_GB2312"/>
          <w:snapToGrid w:val="0"/>
          <w:color w:val="000000"/>
          <w:szCs w:val="32"/>
        </w:rPr>
        <w:t>（一）一般公共预算拨款</w:t>
      </w:r>
    </w:p>
    <w:p w14:paraId="64F96C68">
      <w:pPr>
        <w:widowControl w:val="0"/>
        <w:adjustRightInd w:val="0"/>
        <w:snapToGrid w:val="0"/>
        <w:spacing w:line="570" w:lineRule="exact"/>
        <w:ind w:firstLine="640" w:firstLineChars="200"/>
        <w:jc w:val="both"/>
        <w:rPr>
          <w:rFonts w:ascii="宋体" w:hAnsi="宋体" w:cs="宋体"/>
          <w:snapToGrid w:val="0"/>
          <w:color w:val="auto"/>
          <w:kern w:val="2"/>
          <w:sz w:val="32"/>
          <w:szCs w:val="32"/>
        </w:rPr>
      </w:pPr>
      <w:r>
        <w:rPr>
          <w:rFonts w:hint="eastAsia" w:ascii="仿宋_GB2312" w:hAnsi="仿宋"/>
          <w:snapToGrid w:val="0"/>
          <w:color w:val="000000"/>
          <w:szCs w:val="32"/>
        </w:rPr>
        <w:t>一般公共预算拨款</w:t>
      </w:r>
      <w:r>
        <w:rPr>
          <w:rFonts w:hint="eastAsia" w:ascii="仿宋_GB2312" w:hAnsi="仿宋"/>
          <w:snapToGrid w:val="0"/>
          <w:color w:val="000000"/>
          <w:szCs w:val="32"/>
          <w:lang w:val="en-US" w:eastAsia="zh-CN"/>
        </w:rPr>
        <w:t>811.69</w:t>
      </w:r>
      <w:r>
        <w:rPr>
          <w:rFonts w:hint="eastAsia" w:ascii="仿宋_GB2312" w:hAnsi="仿宋"/>
          <w:snapToGrid w:val="0"/>
          <w:color w:val="000000"/>
          <w:szCs w:val="32"/>
        </w:rPr>
        <w:t>万元，较上年</w:t>
      </w:r>
      <w:r>
        <w:rPr>
          <w:rFonts w:hint="eastAsia" w:ascii="仿宋_GB2312" w:hAnsi="仿宋"/>
          <w:snapToGrid w:val="0"/>
          <w:color w:val="000000"/>
          <w:szCs w:val="32"/>
          <w:lang w:val="en-US" w:eastAsia="zh-CN"/>
        </w:rPr>
        <w:t>增加17.33</w:t>
      </w:r>
      <w:r>
        <w:rPr>
          <w:rFonts w:hint="eastAsia" w:ascii="仿宋_GB2312" w:hAnsi="仿宋"/>
          <w:snapToGrid w:val="0"/>
          <w:color w:val="000000"/>
          <w:szCs w:val="32"/>
        </w:rPr>
        <w:t>万元，</w:t>
      </w:r>
      <w:r>
        <w:rPr>
          <w:rFonts w:hint="eastAsia" w:ascii="仿宋_GB2312" w:hAnsi="仿宋"/>
          <w:snapToGrid w:val="0"/>
          <w:color w:val="000000"/>
          <w:szCs w:val="32"/>
          <w:lang w:val="en-US" w:eastAsia="zh-CN"/>
        </w:rPr>
        <w:t>增长2.18</w:t>
      </w:r>
      <w:r>
        <w:rPr>
          <w:rFonts w:hint="eastAsia" w:ascii="仿宋_GB2312" w:hAnsi="仿宋"/>
          <w:snapToGrid w:val="0"/>
          <w:color w:val="000000"/>
          <w:szCs w:val="32"/>
        </w:rPr>
        <w:t>%。</w:t>
      </w:r>
      <w:r>
        <w:rPr>
          <w:rFonts w:hint="eastAsia" w:ascii="仿宋_GB2312" w:hAnsi="仿宋"/>
          <w:snapToGrid w:val="0"/>
          <w:color w:val="000000"/>
          <w:szCs w:val="32"/>
          <w:lang w:val="en-US" w:eastAsia="zh-CN"/>
        </w:rPr>
        <w:t>增长</w:t>
      </w:r>
      <w:r>
        <w:rPr>
          <w:rFonts w:hint="eastAsia" w:ascii="仿宋_GB2312" w:hAnsi="仿宋"/>
          <w:snapToGrid w:val="0"/>
          <w:color w:val="000000"/>
          <w:szCs w:val="32"/>
        </w:rPr>
        <w:t>的原因：</w:t>
      </w:r>
      <w:r>
        <w:rPr>
          <w:rFonts w:hint="eastAsia" w:ascii="宋体" w:hAnsi="宋体" w:cs="宋体"/>
          <w:snapToGrid w:val="0"/>
          <w:color w:val="auto"/>
          <w:kern w:val="2"/>
          <w:sz w:val="32"/>
          <w:szCs w:val="32"/>
          <w:highlight w:val="none"/>
        </w:rPr>
        <w:t>在职人数较上年增加及根据自治区人社厅有关文件要</w:t>
      </w:r>
      <w:r>
        <w:rPr>
          <w:rFonts w:hint="eastAsia" w:ascii="宋体" w:hAnsi="宋体" w:cs="宋体"/>
          <w:snapToGrid w:val="0"/>
          <w:color w:val="auto"/>
          <w:kern w:val="2"/>
          <w:sz w:val="32"/>
          <w:szCs w:val="32"/>
        </w:rPr>
        <w:t>求调增基本工资标准，</w:t>
      </w:r>
      <w:r>
        <w:rPr>
          <w:rFonts w:hint="eastAsia" w:ascii="宋体" w:hAnsi="宋体" w:cs="宋体"/>
          <w:snapToGrid w:val="0"/>
          <w:color w:val="auto"/>
          <w:sz w:val="32"/>
          <w:szCs w:val="32"/>
        </w:rPr>
        <w:t>引起工资总额增加，五险二金</w:t>
      </w:r>
      <w:r>
        <w:rPr>
          <w:rFonts w:hint="eastAsia" w:ascii="宋体" w:hAnsi="宋体" w:cs="宋体"/>
          <w:snapToGrid w:val="0"/>
          <w:color w:val="auto"/>
          <w:sz w:val="32"/>
          <w:szCs w:val="32"/>
          <w:lang w:eastAsia="zh-CN"/>
        </w:rPr>
        <w:t>、</w:t>
      </w:r>
      <w:r>
        <w:rPr>
          <w:rFonts w:hint="eastAsia" w:ascii="宋体" w:hAnsi="宋体" w:cs="宋体"/>
          <w:color w:val="auto"/>
          <w:sz w:val="32"/>
          <w:szCs w:val="32"/>
        </w:rPr>
        <w:t>其他对个人和家庭的补助支出</w:t>
      </w:r>
      <w:r>
        <w:rPr>
          <w:rFonts w:hint="eastAsia" w:ascii="宋体" w:hAnsi="宋体" w:cs="宋体"/>
          <w:snapToGrid w:val="0"/>
          <w:color w:val="auto"/>
          <w:sz w:val="32"/>
          <w:szCs w:val="32"/>
        </w:rPr>
        <w:t>等由工资总额计提的预算相应增加，</w:t>
      </w:r>
      <w:r>
        <w:rPr>
          <w:rFonts w:hint="eastAsia" w:ascii="宋体" w:hAnsi="宋体" w:cs="宋体"/>
          <w:snapToGrid w:val="0"/>
          <w:color w:val="auto"/>
          <w:sz w:val="32"/>
          <w:szCs w:val="32"/>
          <w:lang w:val="en-US" w:eastAsia="zh-CN"/>
        </w:rPr>
        <w:t>预算安排</w:t>
      </w:r>
      <w:r>
        <w:rPr>
          <w:rFonts w:hint="eastAsia" w:ascii="宋体" w:hAnsi="宋体" w:cs="宋体"/>
          <w:snapToGrid w:val="0"/>
          <w:color w:val="auto"/>
          <w:sz w:val="32"/>
          <w:szCs w:val="32"/>
        </w:rPr>
        <w:t>相应增加。</w:t>
      </w:r>
    </w:p>
    <w:p w14:paraId="64345ACB">
      <w:pPr>
        <w:adjustRightInd w:val="0"/>
        <w:snapToGrid w:val="0"/>
        <w:spacing w:line="560" w:lineRule="exact"/>
        <w:ind w:firstLine="640" w:firstLineChars="200"/>
        <w:rPr>
          <w:rFonts w:ascii="楷体_GB2312" w:hAnsi="仿宋" w:eastAsia="楷体_GB2312"/>
          <w:snapToGrid w:val="0"/>
          <w:color w:val="000000"/>
          <w:szCs w:val="32"/>
        </w:rPr>
      </w:pPr>
      <w:r>
        <w:rPr>
          <w:rFonts w:hint="eastAsia" w:ascii="楷体_GB2312" w:hAnsi="仿宋" w:eastAsia="楷体_GB2312"/>
          <w:snapToGrid w:val="0"/>
          <w:color w:val="000000"/>
          <w:szCs w:val="32"/>
        </w:rPr>
        <w:t>（二）上年结转结余</w:t>
      </w:r>
    </w:p>
    <w:p w14:paraId="68C69172">
      <w:pPr>
        <w:adjustRightInd w:val="0"/>
        <w:snapToGrid w:val="0"/>
        <w:spacing w:line="560" w:lineRule="exact"/>
        <w:ind w:firstLine="640" w:firstLineChars="200"/>
        <w:textAlignment w:val="baseline"/>
        <w:rPr>
          <w:rFonts w:ascii="仿宋_GB2312" w:hAnsi="仿宋"/>
          <w:snapToGrid w:val="0"/>
          <w:color w:val="000000"/>
          <w:szCs w:val="32"/>
        </w:rPr>
      </w:pPr>
      <w:r>
        <w:rPr>
          <w:rFonts w:hint="eastAsia" w:ascii="仿宋_GB2312" w:hAnsi="仿宋"/>
          <w:snapToGrid w:val="0"/>
          <w:color w:val="000000"/>
          <w:szCs w:val="32"/>
        </w:rPr>
        <w:t>上年结转结余（单位资金）1</w:t>
      </w:r>
      <w:r>
        <w:rPr>
          <w:rFonts w:ascii="仿宋_GB2312" w:hAnsi="仿宋"/>
          <w:snapToGrid w:val="0"/>
          <w:color w:val="000000"/>
          <w:szCs w:val="32"/>
        </w:rPr>
        <w:t>3.80</w:t>
      </w:r>
      <w:r>
        <w:rPr>
          <w:rFonts w:hint="eastAsia" w:ascii="仿宋_GB2312" w:hAnsi="仿宋"/>
          <w:snapToGrid w:val="0"/>
          <w:color w:val="000000"/>
          <w:szCs w:val="32"/>
        </w:rPr>
        <w:t>万元，</w:t>
      </w:r>
      <w:r>
        <w:rPr>
          <w:rFonts w:hint="eastAsia" w:ascii="仿宋_GB2312" w:hAnsi="仿宋"/>
          <w:snapToGrid w:val="0"/>
          <w:color w:val="000000"/>
          <w:szCs w:val="32"/>
          <w:lang w:val="en-US" w:eastAsia="zh-CN"/>
        </w:rPr>
        <w:t>与上年持平</w:t>
      </w:r>
      <w:r>
        <w:rPr>
          <w:rFonts w:hint="eastAsia" w:ascii="仿宋_GB2312" w:hAnsi="仿宋"/>
          <w:snapToGrid w:val="0"/>
          <w:color w:val="000000"/>
          <w:szCs w:val="32"/>
        </w:rPr>
        <w:t>。资金来源是单位资金，用于安排基本支出编外长聘人员经费预算。</w:t>
      </w:r>
    </w:p>
    <w:p w14:paraId="55F013E1">
      <w:pPr>
        <w:tabs>
          <w:tab w:val="center" w:pos="4475"/>
        </w:tabs>
        <w:spacing w:line="560" w:lineRule="exact"/>
        <w:ind w:firstLine="645"/>
        <w:rPr>
          <w:rFonts w:hint="eastAsia" w:ascii="黑体" w:eastAsia="黑体"/>
          <w:szCs w:val="32"/>
        </w:rPr>
      </w:pPr>
      <w:r>
        <w:rPr>
          <w:rFonts w:hint="eastAsia" w:ascii="黑体" w:eastAsia="黑体"/>
          <w:szCs w:val="32"/>
        </w:rPr>
        <w:t>三、单位预算支出总体情况说明</w:t>
      </w:r>
    </w:p>
    <w:p w14:paraId="036B27F1">
      <w:pPr>
        <w:widowControl w:val="0"/>
        <w:adjustRightInd w:val="0"/>
        <w:snapToGrid w:val="0"/>
        <w:spacing w:line="570" w:lineRule="exact"/>
        <w:ind w:firstLine="640" w:firstLineChars="200"/>
        <w:jc w:val="both"/>
        <w:rPr>
          <w:rFonts w:ascii="宋体" w:hAnsi="宋体" w:cs="宋体"/>
          <w:snapToGrid w:val="0"/>
          <w:color w:val="auto"/>
          <w:kern w:val="2"/>
          <w:sz w:val="32"/>
          <w:szCs w:val="32"/>
        </w:rPr>
      </w:pPr>
      <w:r>
        <w:rPr>
          <w:rFonts w:hint="eastAsia" w:ascii="仿宋_GB2312" w:hAnsi="仿宋"/>
          <w:snapToGrid w:val="0"/>
          <w:color w:val="000000"/>
          <w:szCs w:val="32"/>
        </w:rPr>
        <w:t>我单位总支出</w:t>
      </w:r>
      <w:r>
        <w:rPr>
          <w:rFonts w:hint="eastAsia" w:ascii="仿宋_GB2312" w:hAnsi="仿宋"/>
          <w:snapToGrid w:val="0"/>
          <w:color w:val="000000"/>
          <w:szCs w:val="32"/>
          <w:lang w:val="en-US" w:eastAsia="zh-CN"/>
        </w:rPr>
        <w:t>825.49</w:t>
      </w:r>
      <w:r>
        <w:rPr>
          <w:rFonts w:hint="eastAsia" w:ascii="仿宋_GB2312" w:hAnsi="仿宋"/>
          <w:snapToGrid w:val="0"/>
          <w:color w:val="000000"/>
          <w:szCs w:val="32"/>
        </w:rPr>
        <w:t>万元，较上年</w:t>
      </w:r>
      <w:r>
        <w:rPr>
          <w:rFonts w:hint="eastAsia" w:ascii="仿宋_GB2312" w:hAnsi="仿宋"/>
          <w:snapToGrid w:val="0"/>
          <w:color w:val="000000"/>
          <w:szCs w:val="32"/>
          <w:lang w:val="en-US" w:eastAsia="zh-CN"/>
        </w:rPr>
        <w:t>增加17.33</w:t>
      </w:r>
      <w:r>
        <w:rPr>
          <w:rFonts w:hint="eastAsia" w:ascii="仿宋_GB2312" w:hAnsi="仿宋"/>
          <w:snapToGrid w:val="0"/>
          <w:color w:val="000000"/>
          <w:szCs w:val="32"/>
        </w:rPr>
        <w:t>万元，</w:t>
      </w:r>
      <w:r>
        <w:rPr>
          <w:rFonts w:hint="eastAsia" w:ascii="仿宋_GB2312" w:hAnsi="仿宋"/>
          <w:snapToGrid w:val="0"/>
          <w:color w:val="000000"/>
          <w:szCs w:val="32"/>
          <w:lang w:val="en-US" w:eastAsia="zh-CN"/>
        </w:rPr>
        <w:t>增长2.14</w:t>
      </w:r>
      <w:r>
        <w:rPr>
          <w:rFonts w:hint="eastAsia" w:ascii="仿宋_GB2312" w:hAnsi="仿宋"/>
          <w:snapToGrid w:val="0"/>
          <w:color w:val="000000"/>
          <w:szCs w:val="32"/>
        </w:rPr>
        <w:t>%。</w:t>
      </w:r>
      <w:r>
        <w:rPr>
          <w:rFonts w:hint="eastAsia" w:ascii="仿宋_GB2312" w:hAnsi="仿宋"/>
          <w:snapToGrid w:val="0"/>
          <w:color w:val="000000"/>
          <w:szCs w:val="32"/>
          <w:lang w:val="en-US" w:eastAsia="zh-CN"/>
        </w:rPr>
        <w:t>增长</w:t>
      </w:r>
      <w:r>
        <w:rPr>
          <w:rFonts w:hint="eastAsia" w:ascii="仿宋_GB2312" w:hAnsi="仿宋"/>
          <w:snapToGrid w:val="0"/>
          <w:color w:val="000000"/>
          <w:szCs w:val="32"/>
        </w:rPr>
        <w:t>的原因：</w:t>
      </w:r>
      <w:r>
        <w:rPr>
          <w:rFonts w:hint="eastAsia" w:ascii="仿宋_GB2312" w:hAnsi="仿宋"/>
          <w:snapToGrid w:val="0"/>
          <w:color w:val="000000"/>
          <w:szCs w:val="32"/>
          <w:highlight w:val="none"/>
        </w:rPr>
        <w:t>主要原因是</w:t>
      </w:r>
      <w:r>
        <w:rPr>
          <w:rFonts w:hint="eastAsia" w:ascii="宋体" w:hAnsi="宋体" w:cs="宋体"/>
          <w:snapToGrid w:val="0"/>
          <w:color w:val="auto"/>
          <w:kern w:val="2"/>
          <w:sz w:val="32"/>
          <w:szCs w:val="32"/>
          <w:highlight w:val="none"/>
        </w:rPr>
        <w:t>在职人数较上年增加及根据自治区人社厅有关文件要</w:t>
      </w:r>
      <w:r>
        <w:rPr>
          <w:rFonts w:hint="eastAsia" w:ascii="宋体" w:hAnsi="宋体" w:cs="宋体"/>
          <w:snapToGrid w:val="0"/>
          <w:color w:val="auto"/>
          <w:kern w:val="2"/>
          <w:sz w:val="32"/>
          <w:szCs w:val="32"/>
        </w:rPr>
        <w:t>求调增基本工资标准，</w:t>
      </w:r>
      <w:r>
        <w:rPr>
          <w:rFonts w:hint="eastAsia" w:ascii="宋体" w:hAnsi="宋体" w:cs="宋体"/>
          <w:snapToGrid w:val="0"/>
          <w:color w:val="auto"/>
          <w:sz w:val="32"/>
          <w:szCs w:val="32"/>
        </w:rPr>
        <w:t>引起工资总额增加，五险二金</w:t>
      </w:r>
      <w:r>
        <w:rPr>
          <w:rFonts w:hint="eastAsia" w:ascii="宋体" w:hAnsi="宋体" w:cs="宋体"/>
          <w:snapToGrid w:val="0"/>
          <w:color w:val="auto"/>
          <w:sz w:val="32"/>
          <w:szCs w:val="32"/>
          <w:lang w:eastAsia="zh-CN"/>
        </w:rPr>
        <w:t>、</w:t>
      </w:r>
      <w:r>
        <w:rPr>
          <w:rFonts w:hint="eastAsia" w:ascii="宋体" w:hAnsi="宋体" w:cs="宋体"/>
          <w:color w:val="auto"/>
          <w:sz w:val="32"/>
          <w:szCs w:val="32"/>
        </w:rPr>
        <w:t>其他对个人和家庭的补助支出</w:t>
      </w:r>
      <w:r>
        <w:rPr>
          <w:rFonts w:hint="eastAsia" w:ascii="宋体" w:hAnsi="宋体" w:cs="宋体"/>
          <w:snapToGrid w:val="0"/>
          <w:color w:val="auto"/>
          <w:sz w:val="32"/>
          <w:szCs w:val="32"/>
        </w:rPr>
        <w:t>等由工资总额计提的预算相应增加，</w:t>
      </w:r>
      <w:r>
        <w:rPr>
          <w:rFonts w:hint="eastAsia" w:ascii="宋体" w:hAnsi="宋体" w:cs="宋体"/>
          <w:snapToGrid w:val="0"/>
          <w:color w:val="auto"/>
          <w:sz w:val="32"/>
          <w:szCs w:val="32"/>
          <w:lang w:val="en-US" w:eastAsia="zh-CN"/>
        </w:rPr>
        <w:t>支出</w:t>
      </w:r>
      <w:r>
        <w:rPr>
          <w:rFonts w:hint="eastAsia" w:ascii="宋体" w:hAnsi="宋体" w:cs="宋体"/>
          <w:snapToGrid w:val="0"/>
          <w:color w:val="auto"/>
          <w:sz w:val="32"/>
          <w:szCs w:val="32"/>
        </w:rPr>
        <w:t>相应增加。</w:t>
      </w:r>
    </w:p>
    <w:p w14:paraId="775DE91C">
      <w:pPr>
        <w:adjustRightInd w:val="0"/>
        <w:snapToGrid w:val="0"/>
        <w:spacing w:line="560" w:lineRule="exact"/>
        <w:ind w:firstLine="640" w:firstLineChars="200"/>
        <w:textAlignment w:val="baseline"/>
        <w:rPr>
          <w:rFonts w:ascii="仿宋_GB2312" w:hAnsi="仿宋"/>
          <w:snapToGrid w:val="0"/>
          <w:color w:val="000000"/>
          <w:szCs w:val="32"/>
        </w:rPr>
      </w:pPr>
      <w:r>
        <w:rPr>
          <w:rFonts w:hint="eastAsia" w:ascii="仿宋_GB2312" w:hAnsi="仿宋"/>
          <w:snapToGrid w:val="0"/>
          <w:color w:val="000000"/>
          <w:szCs w:val="32"/>
        </w:rPr>
        <w:t>其中：</w:t>
      </w:r>
    </w:p>
    <w:p w14:paraId="2FD9A02C">
      <w:pPr>
        <w:adjustRightInd w:val="0"/>
        <w:snapToGrid w:val="0"/>
        <w:spacing w:line="560" w:lineRule="exact"/>
        <w:ind w:firstLine="640" w:firstLineChars="200"/>
        <w:textAlignment w:val="baseline"/>
        <w:rPr>
          <w:rFonts w:ascii="仿宋_GB2312" w:hAnsi="宋体"/>
          <w:szCs w:val="32"/>
        </w:rPr>
      </w:pPr>
      <w:r>
        <w:rPr>
          <w:rFonts w:hint="eastAsia" w:ascii="仿宋_GB2312" w:hAnsi="仿宋"/>
          <w:snapToGrid w:val="0"/>
          <w:color w:val="000000"/>
          <w:szCs w:val="32"/>
        </w:rPr>
        <w:t>（一）</w:t>
      </w:r>
      <w:r>
        <w:rPr>
          <w:rFonts w:hint="eastAsia" w:ascii="仿宋_GB2312"/>
          <w:szCs w:val="32"/>
        </w:rPr>
        <w:t>按支出结构分类划分，分为基本支出预算和项目支出预算。</w:t>
      </w:r>
    </w:p>
    <w:p w14:paraId="5981F1D4">
      <w:pPr>
        <w:adjustRightInd w:val="0"/>
        <w:snapToGrid w:val="0"/>
        <w:spacing w:line="560" w:lineRule="exact"/>
        <w:ind w:firstLine="640" w:firstLineChars="200"/>
        <w:textAlignment w:val="baseline"/>
        <w:rPr>
          <w:rFonts w:hAnsi="宋体"/>
          <w:snapToGrid w:val="0"/>
          <w:color w:val="000000"/>
          <w:szCs w:val="32"/>
        </w:rPr>
      </w:pPr>
      <w:r>
        <w:rPr>
          <w:rFonts w:hint="eastAsia" w:ascii="仿宋_GB2312" w:hAnsi="仿宋"/>
          <w:snapToGrid w:val="0"/>
          <w:color w:val="000000"/>
          <w:szCs w:val="32"/>
        </w:rPr>
        <w:t>1</w:t>
      </w:r>
      <w:r>
        <w:rPr>
          <w:rFonts w:ascii="仿宋_GB2312" w:hAnsi="仿宋"/>
          <w:snapToGrid w:val="0"/>
          <w:color w:val="000000"/>
          <w:szCs w:val="32"/>
        </w:rPr>
        <w:t>.</w:t>
      </w:r>
      <w:r>
        <w:rPr>
          <w:rFonts w:hint="eastAsia" w:ascii="仿宋_GB2312" w:hAnsi="仿宋"/>
          <w:snapToGrid w:val="0"/>
          <w:color w:val="000000"/>
          <w:szCs w:val="32"/>
        </w:rPr>
        <w:t>基本支出预算</w:t>
      </w:r>
      <w:r>
        <w:rPr>
          <w:rFonts w:hint="eastAsia" w:ascii="仿宋_GB2312" w:hAnsi="仿宋"/>
          <w:snapToGrid w:val="0"/>
          <w:color w:val="000000"/>
          <w:szCs w:val="32"/>
          <w:lang w:val="en-US" w:eastAsia="zh-CN"/>
        </w:rPr>
        <w:t>715.49</w:t>
      </w:r>
      <w:r>
        <w:rPr>
          <w:rFonts w:hint="eastAsia" w:ascii="仿宋_GB2312" w:hAnsi="仿宋"/>
          <w:snapToGrid w:val="0"/>
          <w:color w:val="000000"/>
          <w:szCs w:val="32"/>
        </w:rPr>
        <w:t>万元，占支出总预算</w:t>
      </w:r>
      <w:r>
        <w:rPr>
          <w:rFonts w:hint="eastAsia" w:ascii="仿宋_GB2312" w:hAnsi="仿宋"/>
          <w:snapToGrid w:val="0"/>
          <w:color w:val="000000"/>
          <w:szCs w:val="32"/>
          <w:lang w:val="en-US" w:eastAsia="zh-CN"/>
        </w:rPr>
        <w:t>86.67</w:t>
      </w:r>
      <w:r>
        <w:rPr>
          <w:rFonts w:hint="eastAsia" w:ascii="仿宋_GB2312" w:hAnsi="仿宋"/>
          <w:snapToGrid w:val="0"/>
          <w:color w:val="000000"/>
          <w:szCs w:val="32"/>
        </w:rPr>
        <w:t>%，较上年增加</w:t>
      </w:r>
      <w:r>
        <w:rPr>
          <w:rFonts w:hint="eastAsia" w:ascii="仿宋_GB2312" w:hAnsi="仿宋"/>
          <w:snapToGrid w:val="0"/>
          <w:color w:val="000000"/>
          <w:szCs w:val="32"/>
          <w:lang w:val="en-US" w:eastAsia="zh-CN"/>
        </w:rPr>
        <w:t>221.03</w:t>
      </w:r>
      <w:r>
        <w:rPr>
          <w:rFonts w:hint="eastAsia" w:ascii="仿宋_GB2312" w:hAnsi="仿宋"/>
          <w:snapToGrid w:val="0"/>
          <w:color w:val="000000"/>
          <w:szCs w:val="32"/>
        </w:rPr>
        <w:t>万元，增长</w:t>
      </w:r>
      <w:r>
        <w:rPr>
          <w:rFonts w:hint="eastAsia" w:ascii="仿宋_GB2312" w:hAnsi="仿宋"/>
          <w:snapToGrid w:val="0"/>
          <w:color w:val="000000"/>
          <w:szCs w:val="32"/>
          <w:lang w:val="en-US" w:eastAsia="zh-CN"/>
        </w:rPr>
        <w:t>44.70</w:t>
      </w:r>
      <w:r>
        <w:rPr>
          <w:rFonts w:hint="eastAsia" w:ascii="仿宋_GB2312" w:hAnsi="仿宋"/>
          <w:snapToGrid w:val="0"/>
          <w:color w:val="000000"/>
          <w:szCs w:val="32"/>
        </w:rPr>
        <w:t>%。</w:t>
      </w:r>
      <w:r>
        <w:rPr>
          <w:rFonts w:hint="eastAsia" w:hAnsi="宋体"/>
          <w:snapToGrid w:val="0"/>
          <w:color w:val="000000"/>
          <w:szCs w:val="32"/>
        </w:rPr>
        <w:t>其中：</w:t>
      </w:r>
    </w:p>
    <w:p w14:paraId="66D1953F">
      <w:pPr>
        <w:adjustRightInd w:val="0"/>
        <w:snapToGrid w:val="0"/>
        <w:spacing w:line="560" w:lineRule="exact"/>
        <w:ind w:firstLine="640" w:firstLineChars="200"/>
        <w:textAlignment w:val="baseline"/>
        <w:rPr>
          <w:rFonts w:hint="eastAsia" w:ascii="仿宋_GB2312" w:hAnsi="仿宋"/>
          <w:snapToGrid w:val="0"/>
          <w:color w:val="000000"/>
          <w:szCs w:val="32"/>
        </w:rPr>
      </w:pPr>
      <w:r>
        <w:rPr>
          <w:rFonts w:hint="eastAsia" w:ascii="仿宋_GB2312" w:hAnsi="仿宋"/>
          <w:snapToGrid w:val="0"/>
          <w:color w:val="000000"/>
          <w:szCs w:val="32"/>
        </w:rPr>
        <w:t>工资福利支出预算</w:t>
      </w:r>
      <w:r>
        <w:rPr>
          <w:rFonts w:hint="eastAsia" w:ascii="仿宋_GB2312" w:hAnsi="仿宋"/>
          <w:snapToGrid w:val="0"/>
          <w:color w:val="000000"/>
          <w:szCs w:val="32"/>
          <w:lang w:val="en-US" w:eastAsia="zh-CN"/>
        </w:rPr>
        <w:t>457.51</w:t>
      </w:r>
      <w:r>
        <w:rPr>
          <w:rFonts w:hint="eastAsia" w:ascii="仿宋_GB2312" w:hAnsi="仿宋"/>
          <w:snapToGrid w:val="0"/>
          <w:color w:val="000000"/>
          <w:szCs w:val="32"/>
        </w:rPr>
        <w:t>万元，占基本支出预算</w:t>
      </w:r>
      <w:r>
        <w:rPr>
          <w:rFonts w:hint="eastAsia" w:ascii="仿宋_GB2312" w:hAnsi="仿宋"/>
          <w:snapToGrid w:val="0"/>
          <w:color w:val="000000"/>
          <w:szCs w:val="32"/>
          <w:lang w:val="en-US" w:eastAsia="zh-CN"/>
        </w:rPr>
        <w:t>63.94</w:t>
      </w:r>
      <w:r>
        <w:rPr>
          <w:rFonts w:hint="eastAsia" w:ascii="仿宋_GB2312" w:hAnsi="仿宋"/>
          <w:snapToGrid w:val="0"/>
          <w:color w:val="000000"/>
          <w:szCs w:val="32"/>
        </w:rPr>
        <w:t>％，同比上年增加</w:t>
      </w:r>
      <w:r>
        <w:rPr>
          <w:rFonts w:hint="eastAsia" w:ascii="仿宋_GB2312" w:hAnsi="仿宋"/>
          <w:snapToGrid w:val="0"/>
          <w:color w:val="000000"/>
          <w:szCs w:val="32"/>
          <w:lang w:val="en-US" w:eastAsia="zh-CN"/>
        </w:rPr>
        <w:t>36.45</w:t>
      </w:r>
      <w:r>
        <w:rPr>
          <w:rFonts w:hint="eastAsia" w:ascii="仿宋_GB2312" w:hAnsi="仿宋"/>
          <w:snapToGrid w:val="0"/>
          <w:color w:val="000000"/>
          <w:szCs w:val="32"/>
        </w:rPr>
        <w:t>万元，增长</w:t>
      </w:r>
      <w:r>
        <w:rPr>
          <w:rFonts w:hint="eastAsia" w:ascii="仿宋_GB2312" w:hAnsi="仿宋"/>
          <w:snapToGrid w:val="0"/>
          <w:color w:val="000000"/>
          <w:szCs w:val="32"/>
          <w:lang w:val="en-US" w:eastAsia="zh-CN"/>
        </w:rPr>
        <w:t>8.66</w:t>
      </w:r>
      <w:r>
        <w:rPr>
          <w:rFonts w:hint="eastAsia" w:ascii="仿宋_GB2312" w:hAnsi="仿宋"/>
          <w:snapToGrid w:val="0"/>
          <w:color w:val="000000"/>
          <w:szCs w:val="32"/>
        </w:rPr>
        <w:t>％；</w:t>
      </w:r>
    </w:p>
    <w:p w14:paraId="2401F56D">
      <w:pPr>
        <w:adjustRightInd w:val="0"/>
        <w:snapToGrid w:val="0"/>
        <w:spacing w:line="560" w:lineRule="exact"/>
        <w:ind w:firstLine="640" w:firstLineChars="200"/>
        <w:textAlignment w:val="baseline"/>
        <w:rPr>
          <w:rFonts w:hint="eastAsia" w:ascii="仿宋_GB2312" w:hAnsi="仿宋"/>
          <w:snapToGrid w:val="0"/>
          <w:color w:val="000000"/>
          <w:szCs w:val="32"/>
        </w:rPr>
      </w:pPr>
      <w:r>
        <w:rPr>
          <w:rFonts w:hint="eastAsia" w:ascii="仿宋_GB2312" w:hAnsi="仿宋"/>
          <w:snapToGrid w:val="0"/>
          <w:color w:val="000000"/>
          <w:szCs w:val="32"/>
        </w:rPr>
        <w:t>商品和服务支出</w:t>
      </w:r>
      <w:r>
        <w:rPr>
          <w:rFonts w:hint="eastAsia" w:ascii="仿宋_GB2312" w:hAnsi="仿宋"/>
          <w:snapToGrid w:val="0"/>
          <w:color w:val="000000"/>
          <w:szCs w:val="32"/>
          <w:lang w:val="en-US" w:eastAsia="zh-CN"/>
        </w:rPr>
        <w:t>222.96</w:t>
      </w:r>
      <w:r>
        <w:rPr>
          <w:rFonts w:hint="eastAsia" w:ascii="仿宋_GB2312" w:hAnsi="仿宋"/>
          <w:snapToGrid w:val="0"/>
          <w:color w:val="000000"/>
          <w:szCs w:val="32"/>
        </w:rPr>
        <w:t>万元，占基本支出预算</w:t>
      </w:r>
      <w:r>
        <w:rPr>
          <w:rFonts w:hint="eastAsia" w:ascii="仿宋_GB2312" w:hAnsi="仿宋"/>
          <w:snapToGrid w:val="0"/>
          <w:color w:val="000000"/>
          <w:szCs w:val="32"/>
          <w:lang w:val="en-US" w:eastAsia="zh-CN"/>
        </w:rPr>
        <w:t>31.16</w:t>
      </w:r>
      <w:r>
        <w:rPr>
          <w:rFonts w:hint="eastAsia" w:ascii="仿宋_GB2312" w:hAnsi="仿宋"/>
          <w:snapToGrid w:val="0"/>
          <w:color w:val="000000"/>
          <w:szCs w:val="32"/>
        </w:rPr>
        <w:t>％，同比上年增加</w:t>
      </w:r>
      <w:r>
        <w:rPr>
          <w:rFonts w:hint="eastAsia" w:ascii="仿宋_GB2312" w:hAnsi="仿宋"/>
          <w:snapToGrid w:val="0"/>
          <w:color w:val="000000"/>
          <w:szCs w:val="32"/>
          <w:lang w:val="en-US" w:eastAsia="zh-CN"/>
        </w:rPr>
        <w:t>183.79</w:t>
      </w:r>
      <w:r>
        <w:rPr>
          <w:rFonts w:hint="eastAsia" w:ascii="仿宋_GB2312" w:hAnsi="仿宋"/>
          <w:snapToGrid w:val="0"/>
          <w:color w:val="000000"/>
          <w:szCs w:val="32"/>
        </w:rPr>
        <w:t>万元，增长</w:t>
      </w:r>
      <w:r>
        <w:rPr>
          <w:rFonts w:hint="eastAsia" w:ascii="仿宋_GB2312" w:hAnsi="仿宋"/>
          <w:snapToGrid w:val="0"/>
          <w:color w:val="000000"/>
          <w:szCs w:val="32"/>
          <w:lang w:val="en-US" w:eastAsia="zh-CN"/>
        </w:rPr>
        <w:t>463.46</w:t>
      </w:r>
      <w:r>
        <w:rPr>
          <w:rFonts w:hint="eastAsia" w:ascii="仿宋_GB2312" w:hAnsi="仿宋"/>
          <w:snapToGrid w:val="0"/>
          <w:color w:val="000000"/>
          <w:szCs w:val="32"/>
        </w:rPr>
        <w:t>％。</w:t>
      </w:r>
    </w:p>
    <w:p w14:paraId="243225CC">
      <w:pPr>
        <w:adjustRightInd w:val="0"/>
        <w:snapToGrid w:val="0"/>
        <w:spacing w:line="560" w:lineRule="exact"/>
        <w:ind w:firstLine="640" w:firstLineChars="200"/>
        <w:textAlignment w:val="baseline"/>
        <w:rPr>
          <w:rFonts w:hint="eastAsia" w:ascii="仿宋_GB2312" w:hAnsi="仿宋"/>
          <w:snapToGrid w:val="0"/>
          <w:color w:val="000000"/>
          <w:szCs w:val="32"/>
        </w:rPr>
      </w:pPr>
      <w:r>
        <w:rPr>
          <w:rFonts w:hint="eastAsia" w:ascii="仿宋_GB2312" w:hAnsi="仿宋"/>
          <w:snapToGrid w:val="0"/>
          <w:color w:val="000000"/>
          <w:szCs w:val="32"/>
        </w:rPr>
        <w:t>对个人和家庭的补助预算3</w:t>
      </w:r>
      <w:r>
        <w:rPr>
          <w:rFonts w:hint="eastAsia" w:ascii="仿宋_GB2312" w:hAnsi="仿宋"/>
          <w:snapToGrid w:val="0"/>
          <w:color w:val="000000"/>
          <w:szCs w:val="32"/>
          <w:lang w:val="en-US" w:eastAsia="zh-CN"/>
        </w:rPr>
        <w:t>5.03</w:t>
      </w:r>
      <w:r>
        <w:rPr>
          <w:rFonts w:hint="eastAsia" w:ascii="仿宋_GB2312" w:hAnsi="仿宋"/>
          <w:snapToGrid w:val="0"/>
          <w:color w:val="000000"/>
          <w:szCs w:val="32"/>
        </w:rPr>
        <w:t>万元，占基本支出预算</w:t>
      </w:r>
      <w:r>
        <w:rPr>
          <w:rFonts w:hint="eastAsia" w:ascii="仿宋_GB2312" w:hAnsi="仿宋"/>
          <w:snapToGrid w:val="0"/>
          <w:color w:val="000000"/>
          <w:szCs w:val="32"/>
          <w:lang w:val="en-US" w:eastAsia="zh-CN"/>
        </w:rPr>
        <w:t>4.90</w:t>
      </w:r>
      <w:r>
        <w:rPr>
          <w:rFonts w:hint="eastAsia" w:ascii="仿宋_GB2312" w:hAnsi="仿宋"/>
          <w:snapToGrid w:val="0"/>
          <w:color w:val="000000"/>
          <w:szCs w:val="32"/>
        </w:rPr>
        <w:t>％，同比上年</w:t>
      </w:r>
      <w:r>
        <w:rPr>
          <w:rFonts w:hint="eastAsia" w:ascii="仿宋_GB2312" w:hAnsi="仿宋"/>
          <w:snapToGrid w:val="0"/>
          <w:color w:val="000000"/>
          <w:szCs w:val="32"/>
          <w:lang w:val="en-US" w:eastAsia="zh-CN"/>
        </w:rPr>
        <w:t>增加</w:t>
      </w:r>
      <w:r>
        <w:rPr>
          <w:rFonts w:hint="eastAsia" w:ascii="仿宋_GB2312" w:hAnsi="仿宋"/>
          <w:snapToGrid w:val="0"/>
          <w:color w:val="000000"/>
          <w:szCs w:val="32"/>
        </w:rPr>
        <w:t>1.2</w:t>
      </w:r>
      <w:r>
        <w:rPr>
          <w:rFonts w:hint="eastAsia" w:ascii="仿宋_GB2312" w:hAnsi="仿宋"/>
          <w:snapToGrid w:val="0"/>
          <w:color w:val="000000"/>
          <w:szCs w:val="32"/>
          <w:lang w:val="en-US" w:eastAsia="zh-CN"/>
        </w:rPr>
        <w:t>0</w:t>
      </w:r>
      <w:r>
        <w:rPr>
          <w:rFonts w:hint="eastAsia" w:ascii="仿宋_GB2312" w:hAnsi="仿宋"/>
          <w:snapToGrid w:val="0"/>
          <w:color w:val="000000"/>
          <w:szCs w:val="32"/>
        </w:rPr>
        <w:t>万元，</w:t>
      </w:r>
      <w:r>
        <w:rPr>
          <w:rFonts w:hint="eastAsia" w:ascii="仿宋_GB2312" w:hAnsi="仿宋"/>
          <w:snapToGrid w:val="0"/>
          <w:color w:val="000000"/>
          <w:szCs w:val="32"/>
          <w:lang w:val="en-US" w:eastAsia="zh-CN"/>
        </w:rPr>
        <w:t>增长3.55</w:t>
      </w:r>
      <w:r>
        <w:rPr>
          <w:rFonts w:hint="eastAsia" w:ascii="仿宋_GB2312" w:hAnsi="仿宋"/>
          <w:snapToGrid w:val="0"/>
          <w:color w:val="000000"/>
          <w:szCs w:val="32"/>
        </w:rPr>
        <w:t>％。</w:t>
      </w:r>
    </w:p>
    <w:p w14:paraId="0C854AC9">
      <w:pPr>
        <w:adjustRightInd w:val="0"/>
        <w:snapToGrid w:val="0"/>
        <w:spacing w:line="560" w:lineRule="exact"/>
        <w:ind w:firstLine="640" w:firstLineChars="200"/>
        <w:textAlignment w:val="baseline"/>
        <w:rPr>
          <w:rFonts w:hint="eastAsia" w:ascii="仿宋_GB2312" w:hAnsi="仿宋"/>
          <w:snapToGrid w:val="0"/>
          <w:color w:val="000000"/>
          <w:szCs w:val="32"/>
        </w:rPr>
      </w:pPr>
      <w:r>
        <w:rPr>
          <w:rFonts w:hint="eastAsia" w:ascii="仿宋_GB2312" w:hAnsi="仿宋"/>
          <w:snapToGrid w:val="0"/>
          <w:color w:val="000000"/>
          <w:szCs w:val="32"/>
        </w:rPr>
        <w:t>2.项目支出预算</w:t>
      </w:r>
      <w:r>
        <w:rPr>
          <w:rFonts w:hint="eastAsia" w:ascii="仿宋_GB2312" w:hAnsi="仿宋"/>
          <w:snapToGrid w:val="0"/>
          <w:color w:val="000000"/>
          <w:szCs w:val="32"/>
          <w:lang w:val="en-US" w:eastAsia="zh-CN"/>
        </w:rPr>
        <w:t>110</w:t>
      </w:r>
      <w:r>
        <w:rPr>
          <w:rFonts w:hint="eastAsia" w:ascii="仿宋_GB2312" w:hAnsi="仿宋"/>
          <w:snapToGrid w:val="0"/>
          <w:color w:val="000000"/>
          <w:szCs w:val="32"/>
        </w:rPr>
        <w:t>万元，占本年支出预算</w:t>
      </w:r>
      <w:r>
        <w:rPr>
          <w:rFonts w:hint="eastAsia" w:ascii="仿宋_GB2312" w:hAnsi="仿宋"/>
          <w:snapToGrid w:val="0"/>
          <w:color w:val="000000"/>
          <w:szCs w:val="32"/>
          <w:lang w:val="en-US" w:eastAsia="zh-CN"/>
        </w:rPr>
        <w:t>13.33</w:t>
      </w:r>
      <w:r>
        <w:rPr>
          <w:rFonts w:hint="eastAsia" w:ascii="仿宋_GB2312" w:hAnsi="仿宋"/>
          <w:snapToGrid w:val="0"/>
          <w:color w:val="000000"/>
          <w:szCs w:val="32"/>
        </w:rPr>
        <w:t>％，较上年减少</w:t>
      </w:r>
      <w:r>
        <w:rPr>
          <w:rFonts w:hint="eastAsia" w:ascii="仿宋_GB2312" w:hAnsi="仿宋"/>
          <w:snapToGrid w:val="0"/>
          <w:color w:val="000000"/>
          <w:szCs w:val="32"/>
          <w:lang w:val="en-US" w:eastAsia="zh-CN"/>
        </w:rPr>
        <w:t>203.70</w:t>
      </w:r>
      <w:r>
        <w:rPr>
          <w:rFonts w:hint="eastAsia" w:ascii="仿宋_GB2312" w:hAnsi="仿宋"/>
          <w:snapToGrid w:val="0"/>
          <w:color w:val="000000"/>
          <w:szCs w:val="32"/>
        </w:rPr>
        <w:t>万元，下降</w:t>
      </w:r>
      <w:r>
        <w:rPr>
          <w:rFonts w:hint="eastAsia" w:ascii="仿宋_GB2312" w:hAnsi="仿宋"/>
          <w:snapToGrid w:val="0"/>
          <w:color w:val="000000"/>
          <w:szCs w:val="32"/>
          <w:lang w:val="en-US" w:eastAsia="zh-CN"/>
        </w:rPr>
        <w:t>64.93</w:t>
      </w:r>
      <w:r>
        <w:rPr>
          <w:rFonts w:hint="eastAsia" w:ascii="仿宋_GB2312" w:hAnsi="仿宋"/>
          <w:snapToGrid w:val="0"/>
          <w:color w:val="000000"/>
          <w:szCs w:val="32"/>
        </w:rPr>
        <w:t>%。</w:t>
      </w:r>
    </w:p>
    <w:p w14:paraId="39AF597A">
      <w:pPr>
        <w:adjustRightInd w:val="0"/>
        <w:snapToGrid w:val="0"/>
        <w:spacing w:line="560" w:lineRule="exact"/>
        <w:ind w:firstLine="640" w:firstLineChars="200"/>
        <w:textAlignment w:val="baseline"/>
        <w:rPr>
          <w:rFonts w:ascii="楷体_GB2312" w:hAnsi="仿宋" w:eastAsia="楷体_GB2312"/>
          <w:snapToGrid w:val="0"/>
          <w:color w:val="000000"/>
          <w:szCs w:val="32"/>
        </w:rPr>
      </w:pPr>
      <w:r>
        <w:rPr>
          <w:rFonts w:hint="eastAsia" w:ascii="楷体_GB2312" w:hAnsi="仿宋" w:eastAsia="楷体_GB2312"/>
          <w:snapToGrid w:val="0"/>
          <w:color w:val="000000"/>
          <w:szCs w:val="32"/>
        </w:rPr>
        <w:t>（二）按支出功能分类科目划分。</w:t>
      </w:r>
    </w:p>
    <w:p w14:paraId="46473C8A">
      <w:pPr>
        <w:adjustRightInd w:val="0"/>
        <w:snapToGrid w:val="0"/>
        <w:spacing w:line="560" w:lineRule="exact"/>
        <w:ind w:firstLine="640" w:firstLineChars="200"/>
        <w:textAlignment w:val="baseline"/>
        <w:rPr>
          <w:rFonts w:ascii="仿宋_GB2312" w:hAnsi="仿宋"/>
          <w:snapToGrid w:val="0"/>
          <w:color w:val="000000"/>
          <w:szCs w:val="32"/>
        </w:rPr>
      </w:pPr>
      <w:r>
        <w:rPr>
          <w:rFonts w:hint="eastAsia" w:ascii="仿宋_GB2312" w:hAnsi="仿宋"/>
          <w:snapToGrid w:val="0"/>
          <w:color w:val="000000"/>
          <w:szCs w:val="32"/>
        </w:rPr>
        <w:t>按支出功能分类科目（项级）划分，共分为六类，其中：</w:t>
      </w:r>
    </w:p>
    <w:p w14:paraId="1D79834F">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640" w:firstLineChars="200"/>
        <w:textAlignment w:val="baseline"/>
        <w:rPr>
          <w:rFonts w:hint="eastAsia" w:ascii="宋体" w:hAnsi="宋体" w:cs="宋体"/>
          <w:snapToGrid w:val="0"/>
          <w:color w:val="auto"/>
          <w:kern w:val="2"/>
          <w:sz w:val="32"/>
          <w:szCs w:val="32"/>
          <w:lang w:eastAsia="zh-CN"/>
        </w:rPr>
      </w:pPr>
      <w:r>
        <w:rPr>
          <w:rFonts w:hint="eastAsia" w:ascii="仿宋_GB2312" w:hAnsi="仿宋"/>
          <w:snapToGrid w:val="0"/>
          <w:color w:val="000000"/>
          <w:szCs w:val="32"/>
          <w:lang w:val="en-US" w:eastAsia="zh-CN"/>
        </w:rPr>
        <w:t>1.</w:t>
      </w:r>
      <w:r>
        <w:rPr>
          <w:rFonts w:hint="eastAsia" w:ascii="仿宋_GB2312" w:hAnsi="仿宋"/>
          <w:snapToGrid w:val="0"/>
          <w:color w:val="000000"/>
          <w:szCs w:val="32"/>
        </w:rPr>
        <w:t>机关服务支出</w:t>
      </w:r>
      <w:r>
        <w:rPr>
          <w:rFonts w:hint="eastAsia" w:ascii="仿宋_GB2312" w:hAnsi="仿宋"/>
          <w:snapToGrid w:val="0"/>
          <w:color w:val="000000"/>
          <w:szCs w:val="32"/>
          <w:lang w:val="en-US" w:eastAsia="zh-CN"/>
        </w:rPr>
        <w:t>699.23</w:t>
      </w:r>
      <w:r>
        <w:rPr>
          <w:rFonts w:hint="eastAsia" w:ascii="仿宋_GB2312" w:hAnsi="仿宋"/>
          <w:snapToGrid w:val="0"/>
          <w:color w:val="000000"/>
          <w:szCs w:val="32"/>
        </w:rPr>
        <w:t>万元，占</w:t>
      </w:r>
      <w:r>
        <w:rPr>
          <w:rFonts w:ascii="仿宋_GB2312" w:hAnsi="仿宋"/>
          <w:snapToGrid w:val="0"/>
          <w:color w:val="000000"/>
          <w:szCs w:val="32"/>
        </w:rPr>
        <w:t>本年支出预算</w:t>
      </w:r>
      <w:r>
        <w:rPr>
          <w:rFonts w:hint="eastAsia" w:ascii="仿宋_GB2312" w:hAnsi="仿宋"/>
          <w:snapToGrid w:val="0"/>
          <w:color w:val="000000"/>
          <w:szCs w:val="32"/>
          <w:lang w:val="en-US" w:eastAsia="zh-CN"/>
        </w:rPr>
        <w:t>84.70</w:t>
      </w:r>
      <w:r>
        <w:rPr>
          <w:rFonts w:hint="eastAsia" w:ascii="仿宋_GB2312" w:hAnsi="仿宋"/>
          <w:snapToGrid w:val="0"/>
          <w:color w:val="000000"/>
          <w:szCs w:val="32"/>
        </w:rPr>
        <w:t>%，同比减少</w:t>
      </w:r>
      <w:r>
        <w:rPr>
          <w:rFonts w:hint="eastAsia" w:ascii="仿宋_GB2312" w:hAnsi="仿宋"/>
          <w:snapToGrid w:val="0"/>
          <w:color w:val="000000"/>
          <w:szCs w:val="32"/>
          <w:lang w:val="en-US" w:eastAsia="zh-CN"/>
        </w:rPr>
        <w:t>11.08</w:t>
      </w:r>
      <w:r>
        <w:rPr>
          <w:rFonts w:hint="eastAsia" w:ascii="仿宋_GB2312" w:hAnsi="仿宋"/>
          <w:snapToGrid w:val="0"/>
          <w:color w:val="000000"/>
          <w:szCs w:val="32"/>
        </w:rPr>
        <w:t>万元，下降</w:t>
      </w:r>
      <w:r>
        <w:rPr>
          <w:rFonts w:hint="eastAsia" w:ascii="仿宋_GB2312" w:hAnsi="仿宋"/>
          <w:snapToGrid w:val="0"/>
          <w:color w:val="000000"/>
          <w:szCs w:val="32"/>
          <w:lang w:val="en-US" w:eastAsia="zh-CN"/>
        </w:rPr>
        <w:t>1.56</w:t>
      </w:r>
      <w:r>
        <w:rPr>
          <w:rFonts w:hint="eastAsia" w:ascii="仿宋_GB2312" w:hAnsi="仿宋"/>
          <w:snapToGrid w:val="0"/>
          <w:color w:val="000000"/>
          <w:szCs w:val="32"/>
        </w:rPr>
        <w:t>%，减少的主要原因是</w:t>
      </w:r>
      <w:r>
        <w:rPr>
          <w:rFonts w:hint="eastAsia" w:ascii="宋体" w:hAnsi="宋体" w:cs="宋体"/>
          <w:snapToGrid w:val="0"/>
          <w:color w:val="auto"/>
          <w:kern w:val="2"/>
          <w:sz w:val="32"/>
          <w:szCs w:val="32"/>
        </w:rPr>
        <w:t>落实财政厅“过紧日子”相关要求，结合实际调整项目并压减开支</w:t>
      </w:r>
      <w:r>
        <w:rPr>
          <w:rFonts w:hint="eastAsia" w:ascii="宋体" w:hAnsi="宋体" w:cs="宋体"/>
          <w:snapToGrid w:val="0"/>
          <w:color w:val="auto"/>
          <w:kern w:val="2"/>
          <w:sz w:val="32"/>
          <w:szCs w:val="32"/>
          <w:lang w:eastAsia="zh-CN"/>
        </w:rPr>
        <w:t>。</w:t>
      </w:r>
    </w:p>
    <w:p w14:paraId="2B1D750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baseline"/>
        <w:rPr>
          <w:rFonts w:ascii="仿宋_GB2312" w:hAnsi="仿宋"/>
          <w:snapToGrid w:val="0"/>
          <w:color w:val="000000"/>
          <w:szCs w:val="32"/>
        </w:rPr>
      </w:pPr>
      <w:r>
        <w:rPr>
          <w:rFonts w:hint="eastAsia" w:ascii="仿宋_GB2312" w:hAnsi="仿宋"/>
          <w:snapToGrid w:val="0"/>
          <w:color w:val="000000"/>
          <w:szCs w:val="32"/>
          <w:lang w:val="en-US" w:eastAsia="zh-CN"/>
        </w:rPr>
        <w:t>2.</w:t>
      </w:r>
      <w:r>
        <w:rPr>
          <w:rFonts w:hint="eastAsia" w:ascii="仿宋_GB2312" w:hAnsi="仿宋"/>
          <w:snapToGrid w:val="0"/>
          <w:color w:val="000000"/>
          <w:szCs w:val="32"/>
        </w:rPr>
        <w:t>事业单位离退休支出</w:t>
      </w:r>
      <w:r>
        <w:rPr>
          <w:rFonts w:hint="eastAsia" w:ascii="仿宋_GB2312" w:hAnsi="仿宋"/>
          <w:snapToGrid w:val="0"/>
          <w:color w:val="000000"/>
          <w:szCs w:val="32"/>
          <w:lang w:val="en-US" w:eastAsia="zh-CN"/>
        </w:rPr>
        <w:t>26.59</w:t>
      </w:r>
      <w:r>
        <w:rPr>
          <w:rFonts w:hint="eastAsia" w:ascii="仿宋_GB2312" w:hAnsi="仿宋"/>
          <w:snapToGrid w:val="0"/>
          <w:color w:val="000000"/>
          <w:szCs w:val="32"/>
        </w:rPr>
        <w:t>万元，占</w:t>
      </w:r>
      <w:r>
        <w:rPr>
          <w:rFonts w:ascii="仿宋_GB2312" w:hAnsi="仿宋"/>
          <w:snapToGrid w:val="0"/>
          <w:color w:val="000000"/>
          <w:szCs w:val="32"/>
        </w:rPr>
        <w:t>本年支出预算</w:t>
      </w:r>
      <w:r>
        <w:rPr>
          <w:rFonts w:hint="eastAsia" w:ascii="仿宋_GB2312" w:hAnsi="仿宋"/>
          <w:snapToGrid w:val="0"/>
          <w:color w:val="000000"/>
          <w:szCs w:val="32"/>
          <w:lang w:val="en-US" w:eastAsia="zh-CN"/>
        </w:rPr>
        <w:t>3.22</w:t>
      </w:r>
      <w:r>
        <w:rPr>
          <w:rFonts w:hint="eastAsia" w:ascii="仿宋_GB2312" w:hAnsi="仿宋"/>
          <w:snapToGrid w:val="0"/>
          <w:color w:val="000000"/>
          <w:szCs w:val="32"/>
        </w:rPr>
        <w:t>%，同比增加</w:t>
      </w:r>
      <w:r>
        <w:rPr>
          <w:rFonts w:hint="eastAsia" w:ascii="仿宋_GB2312" w:hAnsi="仿宋"/>
          <w:snapToGrid w:val="0"/>
          <w:color w:val="000000"/>
          <w:szCs w:val="32"/>
          <w:lang w:val="en-US" w:eastAsia="zh-CN"/>
        </w:rPr>
        <w:t>17.98</w:t>
      </w:r>
      <w:r>
        <w:rPr>
          <w:rFonts w:hint="eastAsia" w:ascii="仿宋_GB2312" w:hAnsi="仿宋"/>
          <w:snapToGrid w:val="0"/>
          <w:color w:val="000000"/>
          <w:szCs w:val="32"/>
        </w:rPr>
        <w:t>万元，增长</w:t>
      </w:r>
      <w:r>
        <w:rPr>
          <w:rFonts w:hint="eastAsia" w:ascii="仿宋_GB2312" w:hAnsi="仿宋"/>
          <w:snapToGrid w:val="0"/>
          <w:color w:val="000000"/>
          <w:szCs w:val="32"/>
          <w:lang w:val="en-US" w:eastAsia="zh-CN"/>
        </w:rPr>
        <w:t>208.83</w:t>
      </w:r>
      <w:r>
        <w:rPr>
          <w:rFonts w:hint="eastAsia" w:ascii="仿宋_GB2312" w:hAnsi="仿宋"/>
          <w:snapToGrid w:val="0"/>
          <w:color w:val="000000"/>
          <w:szCs w:val="32"/>
        </w:rPr>
        <w:t>%，增长的主要原因是根据</w:t>
      </w:r>
      <w:r>
        <w:rPr>
          <w:rFonts w:ascii="仿宋_GB2312" w:hAnsi="仿宋"/>
          <w:snapToGrid w:val="0"/>
          <w:color w:val="000000"/>
          <w:szCs w:val="32"/>
        </w:rPr>
        <w:t>部门预算编制要求</w:t>
      </w:r>
      <w:r>
        <w:rPr>
          <w:rFonts w:hint="eastAsia" w:ascii="仿宋_GB2312" w:hAnsi="仿宋"/>
          <w:snapToGrid w:val="0"/>
          <w:color w:val="000000"/>
          <w:szCs w:val="32"/>
          <w:lang w:val="en-US" w:eastAsia="zh-CN"/>
        </w:rPr>
        <w:t>调整</w:t>
      </w:r>
      <w:r>
        <w:rPr>
          <w:rFonts w:ascii="仿宋_GB2312" w:hAnsi="仿宋"/>
          <w:snapToGrid w:val="0"/>
          <w:color w:val="000000"/>
          <w:szCs w:val="32"/>
        </w:rPr>
        <w:t>功能科目</w:t>
      </w:r>
      <w:r>
        <w:rPr>
          <w:rFonts w:hint="eastAsia" w:ascii="仿宋_GB2312" w:hAnsi="仿宋"/>
          <w:snapToGrid w:val="0"/>
          <w:color w:val="000000"/>
          <w:szCs w:val="32"/>
        </w:rPr>
        <w:t>。</w:t>
      </w:r>
    </w:p>
    <w:p w14:paraId="36BEDD50">
      <w:pPr>
        <w:widowControl w:val="0"/>
        <w:adjustRightInd w:val="0"/>
        <w:snapToGrid w:val="0"/>
        <w:spacing w:line="570" w:lineRule="exact"/>
        <w:ind w:firstLine="640" w:firstLineChars="200"/>
        <w:jc w:val="both"/>
        <w:rPr>
          <w:rFonts w:ascii="宋体" w:hAnsi="宋体" w:cs="宋体"/>
          <w:snapToGrid w:val="0"/>
          <w:color w:val="auto"/>
          <w:kern w:val="2"/>
          <w:sz w:val="32"/>
          <w:szCs w:val="32"/>
        </w:rPr>
      </w:pPr>
      <w:r>
        <w:rPr>
          <w:rFonts w:hint="eastAsia" w:ascii="仿宋_GB2312" w:hAnsi="仿宋"/>
          <w:snapToGrid w:val="0"/>
          <w:color w:val="000000"/>
          <w:szCs w:val="32"/>
          <w:lang w:val="en-US" w:eastAsia="zh-CN"/>
        </w:rPr>
        <w:t>3.</w:t>
      </w:r>
      <w:r>
        <w:rPr>
          <w:rFonts w:hint="eastAsia" w:ascii="仿宋_GB2312" w:hAnsi="仿宋"/>
          <w:snapToGrid w:val="0"/>
          <w:color w:val="000000"/>
          <w:szCs w:val="32"/>
        </w:rPr>
        <w:t>机关事业单位基本养老保险缴费支出</w:t>
      </w:r>
      <w:r>
        <w:rPr>
          <w:rFonts w:hint="eastAsia" w:ascii="仿宋_GB2312" w:hAnsi="仿宋"/>
          <w:snapToGrid w:val="0"/>
          <w:color w:val="000000"/>
          <w:szCs w:val="32"/>
          <w:lang w:val="en-US" w:eastAsia="zh-CN"/>
        </w:rPr>
        <w:t>30.08</w:t>
      </w:r>
      <w:r>
        <w:rPr>
          <w:rFonts w:hint="eastAsia" w:ascii="仿宋_GB2312" w:hAnsi="仿宋"/>
          <w:snapToGrid w:val="0"/>
          <w:color w:val="000000"/>
          <w:szCs w:val="32"/>
        </w:rPr>
        <w:t>万元，占</w:t>
      </w:r>
      <w:r>
        <w:rPr>
          <w:rFonts w:ascii="仿宋_GB2312" w:hAnsi="仿宋"/>
          <w:snapToGrid w:val="0"/>
          <w:color w:val="000000"/>
          <w:szCs w:val="32"/>
        </w:rPr>
        <w:t>本年支出预算</w:t>
      </w:r>
      <w:r>
        <w:rPr>
          <w:rFonts w:hint="eastAsia" w:ascii="仿宋_GB2312" w:hAnsi="仿宋"/>
          <w:snapToGrid w:val="0"/>
          <w:color w:val="000000"/>
          <w:szCs w:val="32"/>
          <w:lang w:val="en-US" w:eastAsia="zh-CN"/>
        </w:rPr>
        <w:t>3.64</w:t>
      </w:r>
      <w:r>
        <w:rPr>
          <w:rFonts w:hint="eastAsia" w:ascii="仿宋_GB2312" w:hAnsi="仿宋"/>
          <w:snapToGrid w:val="0"/>
          <w:color w:val="000000"/>
          <w:szCs w:val="32"/>
        </w:rPr>
        <w:t>%，同比</w:t>
      </w:r>
      <w:r>
        <w:rPr>
          <w:rFonts w:hint="eastAsia" w:ascii="仿宋_GB2312" w:hAnsi="仿宋"/>
          <w:snapToGrid w:val="0"/>
          <w:color w:val="000000"/>
          <w:szCs w:val="32"/>
          <w:lang w:val="en-US" w:eastAsia="zh-CN"/>
        </w:rPr>
        <w:t>增加4.06</w:t>
      </w:r>
      <w:r>
        <w:rPr>
          <w:rFonts w:hint="eastAsia" w:ascii="仿宋_GB2312" w:hAnsi="仿宋"/>
          <w:snapToGrid w:val="0"/>
          <w:color w:val="000000"/>
          <w:szCs w:val="32"/>
        </w:rPr>
        <w:t>万元，</w:t>
      </w:r>
      <w:r>
        <w:rPr>
          <w:rFonts w:hint="eastAsia" w:ascii="仿宋_GB2312" w:hAnsi="仿宋"/>
          <w:snapToGrid w:val="0"/>
          <w:color w:val="000000"/>
          <w:szCs w:val="32"/>
          <w:lang w:val="en-US" w:eastAsia="zh-CN"/>
        </w:rPr>
        <w:t>增长15.60</w:t>
      </w:r>
      <w:r>
        <w:rPr>
          <w:rFonts w:hint="eastAsia" w:ascii="仿宋_GB2312" w:hAnsi="仿宋"/>
          <w:snapToGrid w:val="0"/>
          <w:color w:val="000000"/>
          <w:szCs w:val="32"/>
        </w:rPr>
        <w:t>%，</w:t>
      </w:r>
      <w:r>
        <w:rPr>
          <w:rFonts w:hint="eastAsia" w:hAnsi="宋体"/>
          <w:snapToGrid w:val="0"/>
          <w:color w:val="000000"/>
          <w:sz w:val="32"/>
          <w:szCs w:val="32"/>
        </w:rPr>
        <w:t>增长的主要原因是</w:t>
      </w:r>
      <w:r>
        <w:rPr>
          <w:rFonts w:hint="eastAsia" w:ascii="宋体" w:hAnsi="宋体" w:cs="宋体"/>
          <w:snapToGrid w:val="0"/>
          <w:color w:val="auto"/>
          <w:kern w:val="2"/>
          <w:sz w:val="32"/>
          <w:szCs w:val="32"/>
        </w:rPr>
        <w:t>在职人数较上年增加及根据自治区人社厅有关文件要求调增基本工资标准，引起工资总额增加，</w:t>
      </w:r>
      <w:r>
        <w:rPr>
          <w:rFonts w:hint="eastAsia" w:hAnsi="宋体"/>
          <w:snapToGrid w:val="0"/>
          <w:color w:val="000000"/>
          <w:sz w:val="32"/>
          <w:szCs w:val="32"/>
        </w:rPr>
        <w:t>机关事业单位基本养老保险</w:t>
      </w:r>
      <w:r>
        <w:rPr>
          <w:rFonts w:hint="eastAsia" w:ascii="宋体" w:hAnsi="宋体" w:cs="宋体"/>
          <w:snapToGrid w:val="0"/>
          <w:color w:val="auto"/>
          <w:kern w:val="2"/>
          <w:sz w:val="32"/>
          <w:szCs w:val="32"/>
        </w:rPr>
        <w:t>由工资总额计提的预算相应增加，支出相应增加。</w:t>
      </w:r>
    </w:p>
    <w:p w14:paraId="36B7DCDF">
      <w:pPr>
        <w:widowControl w:val="0"/>
        <w:adjustRightInd w:val="0"/>
        <w:snapToGrid w:val="0"/>
        <w:spacing w:line="570" w:lineRule="exact"/>
        <w:ind w:firstLine="640" w:firstLineChars="200"/>
        <w:jc w:val="both"/>
        <w:rPr>
          <w:rFonts w:ascii="宋体" w:hAnsi="宋体" w:cs="宋体"/>
          <w:snapToGrid w:val="0"/>
          <w:color w:val="auto"/>
          <w:kern w:val="2"/>
          <w:sz w:val="32"/>
          <w:szCs w:val="32"/>
        </w:rPr>
      </w:pPr>
      <w:r>
        <w:rPr>
          <w:rFonts w:ascii="仿宋_GB2312" w:hAnsi="仿宋"/>
          <w:snapToGrid w:val="0"/>
          <w:color w:val="000000"/>
          <w:szCs w:val="32"/>
        </w:rPr>
        <w:t>4.</w:t>
      </w:r>
      <w:bookmarkStart w:id="0" w:name="_GoBack"/>
      <w:bookmarkEnd w:id="0"/>
      <w:r>
        <w:rPr>
          <w:rFonts w:hint="eastAsia" w:ascii="仿宋_GB2312" w:hAnsi="仿宋"/>
          <w:snapToGrid w:val="0"/>
          <w:color w:val="000000"/>
          <w:szCs w:val="32"/>
        </w:rPr>
        <w:t>机关事业单位职业年金缴费支出</w:t>
      </w:r>
      <w:r>
        <w:rPr>
          <w:rFonts w:hint="eastAsia" w:ascii="仿宋_GB2312" w:hAnsi="仿宋"/>
          <w:snapToGrid w:val="0"/>
          <w:color w:val="000000"/>
          <w:szCs w:val="32"/>
          <w:lang w:val="en-US" w:eastAsia="zh-CN"/>
        </w:rPr>
        <w:t>15.04</w:t>
      </w:r>
      <w:r>
        <w:rPr>
          <w:rFonts w:hint="eastAsia" w:ascii="仿宋_GB2312" w:hAnsi="仿宋"/>
          <w:snapToGrid w:val="0"/>
          <w:color w:val="000000"/>
          <w:szCs w:val="32"/>
        </w:rPr>
        <w:t>万元，占</w:t>
      </w:r>
      <w:r>
        <w:rPr>
          <w:rFonts w:ascii="仿宋_GB2312" w:hAnsi="仿宋"/>
          <w:snapToGrid w:val="0"/>
          <w:color w:val="000000"/>
          <w:szCs w:val="32"/>
        </w:rPr>
        <w:t>本年支出预算</w:t>
      </w:r>
      <w:r>
        <w:rPr>
          <w:rFonts w:hint="eastAsia" w:ascii="仿宋_GB2312" w:hAnsi="仿宋"/>
          <w:snapToGrid w:val="0"/>
          <w:color w:val="000000"/>
          <w:szCs w:val="32"/>
          <w:lang w:val="en-US" w:eastAsia="zh-CN"/>
        </w:rPr>
        <w:t>1.82</w:t>
      </w:r>
      <w:r>
        <w:rPr>
          <w:rFonts w:hint="eastAsia" w:ascii="仿宋_GB2312" w:hAnsi="仿宋"/>
          <w:snapToGrid w:val="0"/>
          <w:color w:val="000000"/>
          <w:szCs w:val="32"/>
        </w:rPr>
        <w:t>%，同比</w:t>
      </w:r>
      <w:r>
        <w:rPr>
          <w:rFonts w:hint="eastAsia" w:ascii="仿宋_GB2312" w:hAnsi="仿宋"/>
          <w:snapToGrid w:val="0"/>
          <w:color w:val="000000"/>
          <w:szCs w:val="32"/>
          <w:lang w:val="en-US" w:eastAsia="zh-CN"/>
        </w:rPr>
        <w:t>增加2.03</w:t>
      </w:r>
      <w:r>
        <w:rPr>
          <w:rFonts w:hint="eastAsia" w:ascii="仿宋_GB2312" w:hAnsi="仿宋"/>
          <w:snapToGrid w:val="0"/>
          <w:color w:val="000000"/>
          <w:szCs w:val="32"/>
        </w:rPr>
        <w:t>万元，</w:t>
      </w:r>
      <w:r>
        <w:rPr>
          <w:rFonts w:hint="eastAsia" w:ascii="仿宋_GB2312" w:hAnsi="仿宋"/>
          <w:snapToGrid w:val="0"/>
          <w:color w:val="000000"/>
          <w:szCs w:val="32"/>
          <w:lang w:val="en-US" w:eastAsia="zh-CN"/>
        </w:rPr>
        <w:t>增长15.60</w:t>
      </w:r>
      <w:r>
        <w:rPr>
          <w:rFonts w:hint="eastAsia" w:ascii="仿宋_GB2312" w:hAnsi="仿宋"/>
          <w:snapToGrid w:val="0"/>
          <w:color w:val="000000"/>
          <w:szCs w:val="32"/>
        </w:rPr>
        <w:t>%，</w:t>
      </w:r>
      <w:r>
        <w:rPr>
          <w:rFonts w:hint="eastAsia" w:hAnsi="宋体"/>
          <w:snapToGrid w:val="0"/>
          <w:color w:val="000000"/>
          <w:sz w:val="32"/>
          <w:szCs w:val="32"/>
        </w:rPr>
        <w:t>增长的主要原因是</w:t>
      </w:r>
      <w:r>
        <w:rPr>
          <w:rFonts w:hint="eastAsia" w:ascii="宋体" w:hAnsi="宋体" w:cs="宋体"/>
          <w:snapToGrid w:val="0"/>
          <w:color w:val="auto"/>
          <w:kern w:val="2"/>
          <w:sz w:val="32"/>
          <w:szCs w:val="32"/>
        </w:rPr>
        <w:t>在职人数较上年增加及根据自治区人社厅有关文件要求调增基本工资标准，引起工资总额增加，</w:t>
      </w:r>
      <w:r>
        <w:rPr>
          <w:rFonts w:hint="eastAsia" w:hAnsi="宋体"/>
          <w:snapToGrid w:val="0"/>
          <w:color w:val="000000"/>
          <w:sz w:val="32"/>
          <w:szCs w:val="32"/>
        </w:rPr>
        <w:t>机关事业单位职业年金</w:t>
      </w:r>
      <w:r>
        <w:rPr>
          <w:rFonts w:hint="eastAsia" w:ascii="宋体" w:hAnsi="宋体" w:cs="宋体"/>
          <w:snapToGrid w:val="0"/>
          <w:color w:val="auto"/>
          <w:kern w:val="2"/>
          <w:sz w:val="32"/>
          <w:szCs w:val="32"/>
        </w:rPr>
        <w:t>由工资总额计提的预算相应增加，支出相应增加。</w:t>
      </w:r>
    </w:p>
    <w:p w14:paraId="11BBA3FB">
      <w:pPr>
        <w:widowControl w:val="0"/>
        <w:adjustRightInd w:val="0"/>
        <w:snapToGrid w:val="0"/>
        <w:spacing w:line="570" w:lineRule="exact"/>
        <w:ind w:firstLine="640" w:firstLineChars="200"/>
        <w:jc w:val="both"/>
        <w:rPr>
          <w:rFonts w:ascii="宋体" w:hAnsi="宋体" w:cs="宋体"/>
          <w:snapToGrid w:val="0"/>
          <w:color w:val="auto"/>
          <w:kern w:val="2"/>
          <w:sz w:val="32"/>
          <w:szCs w:val="32"/>
        </w:rPr>
      </w:pPr>
      <w:r>
        <w:rPr>
          <w:rFonts w:ascii="仿宋_GB2312" w:hAnsi="仿宋"/>
          <w:snapToGrid w:val="0"/>
          <w:color w:val="000000"/>
          <w:szCs w:val="32"/>
        </w:rPr>
        <w:t>5.</w:t>
      </w:r>
      <w:r>
        <w:rPr>
          <w:rFonts w:hint="eastAsia" w:ascii="仿宋_GB2312" w:hAnsi="仿宋"/>
          <w:snapToGrid w:val="0"/>
          <w:color w:val="000000"/>
          <w:szCs w:val="32"/>
        </w:rPr>
        <w:t>卫生健康支出类科目支出</w:t>
      </w:r>
      <w:r>
        <w:rPr>
          <w:rFonts w:hint="eastAsia" w:ascii="仿宋_GB2312" w:hAnsi="仿宋"/>
          <w:snapToGrid w:val="0"/>
          <w:color w:val="000000"/>
          <w:szCs w:val="32"/>
          <w:lang w:val="en-US" w:eastAsia="zh-CN"/>
        </w:rPr>
        <w:t>15.42</w:t>
      </w:r>
      <w:r>
        <w:rPr>
          <w:rFonts w:hint="eastAsia" w:ascii="仿宋_GB2312" w:hAnsi="仿宋"/>
          <w:snapToGrid w:val="0"/>
          <w:color w:val="000000"/>
          <w:szCs w:val="32"/>
        </w:rPr>
        <w:t>万元，占</w:t>
      </w:r>
      <w:r>
        <w:rPr>
          <w:rFonts w:ascii="仿宋_GB2312" w:hAnsi="仿宋"/>
          <w:snapToGrid w:val="0"/>
          <w:color w:val="000000"/>
          <w:szCs w:val="32"/>
        </w:rPr>
        <w:t>本年支出预算</w:t>
      </w:r>
      <w:r>
        <w:rPr>
          <w:rFonts w:hint="eastAsia" w:ascii="仿宋_GB2312" w:hAnsi="仿宋"/>
          <w:snapToGrid w:val="0"/>
          <w:color w:val="000000"/>
          <w:szCs w:val="32"/>
          <w:lang w:val="en-US" w:eastAsia="zh-CN"/>
        </w:rPr>
        <w:t>1.87</w:t>
      </w:r>
      <w:r>
        <w:rPr>
          <w:rFonts w:hint="eastAsia" w:ascii="仿宋_GB2312" w:hAnsi="仿宋"/>
          <w:snapToGrid w:val="0"/>
          <w:color w:val="000000"/>
          <w:szCs w:val="32"/>
        </w:rPr>
        <w:t>%，同比增加</w:t>
      </w:r>
      <w:r>
        <w:rPr>
          <w:rFonts w:hint="eastAsia" w:ascii="仿宋_GB2312" w:hAnsi="仿宋"/>
          <w:snapToGrid w:val="0"/>
          <w:color w:val="000000"/>
          <w:szCs w:val="32"/>
          <w:lang w:val="en-US" w:eastAsia="zh-CN"/>
        </w:rPr>
        <w:t>1.77</w:t>
      </w:r>
      <w:r>
        <w:rPr>
          <w:rFonts w:hint="eastAsia" w:ascii="仿宋_GB2312" w:hAnsi="仿宋"/>
          <w:snapToGrid w:val="0"/>
          <w:color w:val="000000"/>
          <w:szCs w:val="32"/>
        </w:rPr>
        <w:t>万元，增长</w:t>
      </w:r>
      <w:r>
        <w:rPr>
          <w:rFonts w:hint="eastAsia" w:ascii="仿宋_GB2312" w:hAnsi="仿宋"/>
          <w:snapToGrid w:val="0"/>
          <w:color w:val="000000"/>
          <w:szCs w:val="32"/>
          <w:lang w:val="en-US" w:eastAsia="zh-CN"/>
        </w:rPr>
        <w:t>12.97</w:t>
      </w:r>
      <w:r>
        <w:rPr>
          <w:rFonts w:hint="eastAsia" w:ascii="仿宋_GB2312" w:hAnsi="仿宋"/>
          <w:snapToGrid w:val="0"/>
          <w:color w:val="000000"/>
          <w:szCs w:val="32"/>
        </w:rPr>
        <w:t>%，增长的主要原因是</w:t>
      </w:r>
      <w:r>
        <w:rPr>
          <w:rFonts w:hint="eastAsia" w:ascii="宋体" w:hAnsi="宋体" w:cs="宋体"/>
          <w:snapToGrid w:val="0"/>
          <w:color w:val="auto"/>
          <w:kern w:val="2"/>
          <w:sz w:val="32"/>
          <w:szCs w:val="32"/>
        </w:rPr>
        <w:t>在职人数较上年增加及根据自治区人社厅有关文件要求调增基本工资标准，</w:t>
      </w:r>
      <w:r>
        <w:rPr>
          <w:rFonts w:hint="eastAsia" w:ascii="宋体" w:hAnsi="宋体" w:cs="宋体"/>
          <w:snapToGrid w:val="0"/>
          <w:color w:val="auto"/>
          <w:sz w:val="32"/>
          <w:szCs w:val="32"/>
        </w:rPr>
        <w:t>引起工资总额增加，</w:t>
      </w:r>
      <w:r>
        <w:rPr>
          <w:rFonts w:hint="eastAsia" w:ascii="宋体" w:hAnsi="宋体" w:cs="宋体"/>
          <w:snapToGrid w:val="0"/>
          <w:color w:val="auto"/>
          <w:kern w:val="2"/>
          <w:sz w:val="32"/>
          <w:szCs w:val="32"/>
        </w:rPr>
        <w:t>医疗保险由工资总额计提的预算相应增加，支出相应增加。</w:t>
      </w:r>
    </w:p>
    <w:p w14:paraId="7936EF6C">
      <w:pPr>
        <w:widowControl w:val="0"/>
        <w:adjustRightInd w:val="0"/>
        <w:snapToGrid w:val="0"/>
        <w:spacing w:line="570" w:lineRule="exact"/>
        <w:ind w:firstLine="640" w:firstLineChars="200"/>
        <w:jc w:val="both"/>
        <w:rPr>
          <w:rFonts w:ascii="宋体" w:hAnsi="宋体" w:cs="宋体"/>
          <w:snapToGrid w:val="0"/>
          <w:color w:val="auto"/>
          <w:kern w:val="2"/>
          <w:sz w:val="32"/>
          <w:szCs w:val="32"/>
        </w:rPr>
      </w:pPr>
      <w:r>
        <w:rPr>
          <w:rFonts w:ascii="仿宋_GB2312" w:hAnsi="仿宋"/>
          <w:snapToGrid w:val="0"/>
          <w:color w:val="000000"/>
          <w:szCs w:val="32"/>
        </w:rPr>
        <w:t>6</w:t>
      </w:r>
      <w:r>
        <w:rPr>
          <w:rFonts w:hint="eastAsia" w:ascii="仿宋_GB2312" w:hAnsi="仿宋"/>
          <w:snapToGrid w:val="0"/>
          <w:color w:val="000000"/>
          <w:szCs w:val="32"/>
        </w:rPr>
        <w:t>.住房保障支出类科目支出</w:t>
      </w:r>
      <w:r>
        <w:rPr>
          <w:rFonts w:hint="eastAsia" w:ascii="仿宋_GB2312" w:hAnsi="仿宋"/>
          <w:snapToGrid w:val="0"/>
          <w:color w:val="000000"/>
          <w:szCs w:val="32"/>
          <w:lang w:val="en-US" w:eastAsia="zh-CN"/>
        </w:rPr>
        <w:t>39.13</w:t>
      </w:r>
      <w:r>
        <w:rPr>
          <w:rFonts w:hint="eastAsia" w:ascii="仿宋_GB2312" w:hAnsi="仿宋"/>
          <w:snapToGrid w:val="0"/>
          <w:color w:val="000000"/>
          <w:szCs w:val="32"/>
        </w:rPr>
        <w:t>万元，占</w:t>
      </w:r>
      <w:r>
        <w:rPr>
          <w:rFonts w:ascii="仿宋_GB2312" w:hAnsi="仿宋"/>
          <w:snapToGrid w:val="0"/>
          <w:color w:val="000000"/>
          <w:szCs w:val="32"/>
        </w:rPr>
        <w:t>本年支出预算4.</w:t>
      </w:r>
      <w:r>
        <w:rPr>
          <w:rFonts w:hint="eastAsia" w:ascii="仿宋_GB2312" w:hAnsi="仿宋"/>
          <w:snapToGrid w:val="0"/>
          <w:color w:val="000000"/>
          <w:szCs w:val="32"/>
          <w:lang w:val="en-US" w:eastAsia="zh-CN"/>
        </w:rPr>
        <w:t>74</w:t>
      </w:r>
      <w:r>
        <w:rPr>
          <w:rFonts w:hint="eastAsia" w:ascii="仿宋_GB2312" w:hAnsi="仿宋"/>
          <w:snapToGrid w:val="0"/>
          <w:color w:val="000000"/>
          <w:szCs w:val="32"/>
        </w:rPr>
        <w:t>%，同比增加</w:t>
      </w:r>
      <w:r>
        <w:rPr>
          <w:rFonts w:hint="eastAsia" w:ascii="仿宋_GB2312" w:hAnsi="仿宋"/>
          <w:snapToGrid w:val="0"/>
          <w:color w:val="000000"/>
          <w:szCs w:val="32"/>
          <w:lang w:val="en-US" w:eastAsia="zh-CN"/>
        </w:rPr>
        <w:t>2.57</w:t>
      </w:r>
      <w:r>
        <w:rPr>
          <w:rFonts w:hint="eastAsia" w:ascii="仿宋_GB2312" w:hAnsi="仿宋"/>
          <w:snapToGrid w:val="0"/>
          <w:color w:val="000000"/>
          <w:szCs w:val="32"/>
        </w:rPr>
        <w:t>万元，增长</w:t>
      </w:r>
      <w:r>
        <w:rPr>
          <w:rFonts w:hint="eastAsia" w:ascii="仿宋_GB2312" w:hAnsi="仿宋"/>
          <w:snapToGrid w:val="0"/>
          <w:color w:val="000000"/>
          <w:szCs w:val="32"/>
          <w:lang w:val="en-US" w:eastAsia="zh-CN"/>
        </w:rPr>
        <w:t>7.03</w:t>
      </w:r>
      <w:r>
        <w:rPr>
          <w:rFonts w:hint="eastAsia" w:ascii="仿宋_GB2312" w:hAnsi="仿宋"/>
          <w:snapToGrid w:val="0"/>
          <w:color w:val="000000"/>
          <w:szCs w:val="32"/>
        </w:rPr>
        <w:t>%，增长</w:t>
      </w:r>
      <w:r>
        <w:rPr>
          <w:rFonts w:hint="eastAsia" w:ascii="宋体" w:hAnsi="宋体" w:cs="宋体"/>
          <w:snapToGrid w:val="0"/>
          <w:color w:val="auto"/>
          <w:kern w:val="2"/>
          <w:sz w:val="32"/>
          <w:szCs w:val="32"/>
        </w:rPr>
        <w:t>的主要原因是在职人数较上年增加及根据自治区人社厅有关文件要求调增基本工资标准，</w:t>
      </w:r>
      <w:r>
        <w:rPr>
          <w:rFonts w:hint="eastAsia" w:ascii="宋体" w:hAnsi="宋体" w:cs="宋体"/>
          <w:snapToGrid w:val="0"/>
          <w:color w:val="auto"/>
          <w:sz w:val="32"/>
          <w:szCs w:val="32"/>
        </w:rPr>
        <w:t>引起工资总额增加，</w:t>
      </w:r>
      <w:r>
        <w:rPr>
          <w:rFonts w:hint="eastAsia" w:ascii="宋体" w:hAnsi="宋体" w:cs="宋体"/>
          <w:snapToGrid w:val="0"/>
          <w:color w:val="auto"/>
          <w:kern w:val="2"/>
          <w:sz w:val="32"/>
          <w:szCs w:val="32"/>
        </w:rPr>
        <w:t>住房公积金由工资总额计提的预算相应增加，支出相应增加。</w:t>
      </w:r>
    </w:p>
    <w:p w14:paraId="7515F2F5">
      <w:pPr>
        <w:tabs>
          <w:tab w:val="center" w:pos="4475"/>
        </w:tabs>
        <w:spacing w:line="560" w:lineRule="exact"/>
        <w:ind w:firstLine="645"/>
        <w:rPr>
          <w:rFonts w:hint="eastAsia" w:ascii="黑体" w:eastAsia="黑体"/>
          <w:szCs w:val="32"/>
        </w:rPr>
      </w:pPr>
      <w:r>
        <w:rPr>
          <w:rFonts w:hint="eastAsia" w:ascii="黑体" w:eastAsia="黑体"/>
          <w:szCs w:val="32"/>
        </w:rPr>
        <w:t>四、政府性基金预算支出情况说明</w:t>
      </w:r>
    </w:p>
    <w:p w14:paraId="59E80B30">
      <w:pPr>
        <w:adjustRightInd w:val="0"/>
        <w:snapToGrid w:val="0"/>
        <w:spacing w:line="560" w:lineRule="exact"/>
        <w:ind w:firstLine="640" w:firstLineChars="200"/>
        <w:textAlignment w:val="baseline"/>
        <w:rPr>
          <w:rFonts w:hint="eastAsia" w:ascii="黑体" w:eastAsia="黑体"/>
          <w:szCs w:val="32"/>
        </w:rPr>
      </w:pPr>
      <w:r>
        <w:rPr>
          <w:rFonts w:hint="eastAsia" w:ascii="仿宋_GB2312" w:hAnsi="仿宋"/>
          <w:snapToGrid w:val="0"/>
          <w:color w:val="000000"/>
          <w:szCs w:val="32"/>
        </w:rPr>
        <w:t>我单位</w:t>
      </w:r>
      <w:r>
        <w:rPr>
          <w:rFonts w:hint="eastAsia" w:ascii="仿宋_GB2312" w:hAnsi="仿宋"/>
          <w:snapToGrid w:val="0"/>
          <w:color w:val="000000"/>
          <w:szCs w:val="32"/>
          <w:lang w:eastAsia="zh-CN"/>
        </w:rPr>
        <w:t>2026</w:t>
      </w:r>
      <w:r>
        <w:rPr>
          <w:rFonts w:hint="eastAsia" w:ascii="仿宋_GB2312" w:hAnsi="仿宋"/>
          <w:snapToGrid w:val="0"/>
          <w:color w:val="000000"/>
          <w:szCs w:val="32"/>
        </w:rPr>
        <w:t>年无政府性基金预算。</w:t>
      </w:r>
    </w:p>
    <w:p w14:paraId="3C93719E">
      <w:pPr>
        <w:tabs>
          <w:tab w:val="center" w:pos="4475"/>
        </w:tabs>
        <w:spacing w:line="560" w:lineRule="exact"/>
        <w:ind w:firstLine="645"/>
        <w:rPr>
          <w:rFonts w:hint="eastAsia" w:ascii="黑体" w:eastAsia="黑体"/>
          <w:szCs w:val="32"/>
          <w:highlight w:val="yellow"/>
        </w:rPr>
      </w:pPr>
      <w:r>
        <w:rPr>
          <w:rFonts w:hint="eastAsia" w:ascii="黑体" w:eastAsia="黑体"/>
          <w:szCs w:val="32"/>
        </w:rPr>
        <w:t>五、国有资本经营预算支出情况说明</w:t>
      </w:r>
    </w:p>
    <w:p w14:paraId="63D78A86">
      <w:pPr>
        <w:tabs>
          <w:tab w:val="center" w:pos="4475"/>
        </w:tabs>
        <w:spacing w:line="560" w:lineRule="exact"/>
        <w:ind w:firstLine="645"/>
        <w:rPr>
          <w:rFonts w:ascii="黑体" w:eastAsia="黑体"/>
          <w:szCs w:val="32"/>
        </w:rPr>
      </w:pPr>
      <w:r>
        <w:rPr>
          <w:rFonts w:hint="eastAsia" w:ascii="仿宋_GB2312" w:hAnsi="仿宋"/>
          <w:snapToGrid w:val="0"/>
          <w:color w:val="000000"/>
          <w:szCs w:val="32"/>
        </w:rPr>
        <w:t>我单位</w:t>
      </w:r>
      <w:r>
        <w:rPr>
          <w:rFonts w:hint="eastAsia" w:ascii="仿宋_GB2312" w:hAnsi="仿宋"/>
          <w:snapToGrid w:val="0"/>
          <w:color w:val="000000"/>
          <w:szCs w:val="32"/>
          <w:lang w:eastAsia="zh-CN"/>
        </w:rPr>
        <w:t>2026</w:t>
      </w:r>
      <w:r>
        <w:rPr>
          <w:rFonts w:hint="eastAsia" w:ascii="仿宋_GB2312" w:hAnsi="仿宋"/>
          <w:snapToGrid w:val="0"/>
          <w:color w:val="000000"/>
          <w:szCs w:val="32"/>
        </w:rPr>
        <w:t>年无国有资本经营预算。</w:t>
      </w:r>
    </w:p>
    <w:p w14:paraId="7EB84C99">
      <w:pPr>
        <w:tabs>
          <w:tab w:val="center" w:pos="4475"/>
        </w:tabs>
        <w:spacing w:line="560" w:lineRule="exact"/>
        <w:ind w:firstLine="645"/>
        <w:rPr>
          <w:rFonts w:hint="eastAsia" w:ascii="黑体" w:eastAsia="黑体"/>
          <w:szCs w:val="32"/>
        </w:rPr>
      </w:pPr>
      <w:r>
        <w:rPr>
          <w:rFonts w:hint="eastAsia" w:ascii="黑体" w:eastAsia="黑体"/>
          <w:szCs w:val="32"/>
        </w:rPr>
        <w:t>六、一般公共预算“三公”经费支出情况说明</w:t>
      </w:r>
    </w:p>
    <w:p w14:paraId="5ED96498">
      <w:pPr>
        <w:tabs>
          <w:tab w:val="center" w:pos="4475"/>
        </w:tabs>
        <w:spacing w:line="560" w:lineRule="exact"/>
        <w:ind w:firstLine="645"/>
        <w:rPr>
          <w:rFonts w:hint="eastAsia" w:ascii="仿宋_GB2312" w:hAnsi="宋体"/>
          <w:szCs w:val="32"/>
        </w:rPr>
      </w:pPr>
      <w:r>
        <w:rPr>
          <w:rFonts w:hint="eastAsia" w:ascii="仿宋_GB2312" w:hAnsi="宋体"/>
          <w:szCs w:val="32"/>
        </w:rPr>
        <w:t>我单位</w:t>
      </w:r>
      <w:r>
        <w:rPr>
          <w:rFonts w:hint="eastAsia" w:ascii="仿宋_GB2312"/>
          <w:lang w:eastAsia="zh-CN"/>
        </w:rPr>
        <w:t>2026</w:t>
      </w:r>
      <w:r>
        <w:rPr>
          <w:rFonts w:hint="eastAsia" w:ascii="仿宋_GB2312"/>
        </w:rPr>
        <w:t>年一般公共预算</w:t>
      </w:r>
      <w:r>
        <w:rPr>
          <w:rFonts w:hint="eastAsia" w:ascii="仿宋_GB2312"/>
          <w:bCs/>
        </w:rPr>
        <w:t>安排的“三公”经费支出预算</w:t>
      </w:r>
      <w:r>
        <w:rPr>
          <w:rFonts w:hint="eastAsia" w:ascii="宋体" w:hAnsi="宋体" w:cs="Arial"/>
          <w:color w:val="000000"/>
          <w:kern w:val="0"/>
          <w:szCs w:val="32"/>
        </w:rPr>
        <w:t>0.17</w:t>
      </w:r>
      <w:r>
        <w:rPr>
          <w:rFonts w:hint="eastAsia" w:ascii="仿宋_GB2312"/>
          <w:bCs/>
        </w:rPr>
        <w:t>万元，</w:t>
      </w:r>
      <w:r>
        <w:rPr>
          <w:rFonts w:hint="eastAsia" w:ascii="仿宋_GB2312" w:hAnsi="宋体"/>
          <w:szCs w:val="32"/>
        </w:rPr>
        <w:t>与上年持平</w:t>
      </w:r>
      <w:r>
        <w:rPr>
          <w:rFonts w:hint="eastAsia" w:ascii="仿宋_GB2312"/>
          <w:bCs/>
        </w:rPr>
        <w:t>，具体如下：</w:t>
      </w:r>
    </w:p>
    <w:p w14:paraId="290A447D">
      <w:pPr>
        <w:tabs>
          <w:tab w:val="center" w:pos="4475"/>
        </w:tabs>
        <w:spacing w:line="560" w:lineRule="exact"/>
        <w:ind w:firstLine="645"/>
        <w:rPr>
          <w:rFonts w:ascii="仿宋_GB2312"/>
        </w:rPr>
      </w:pPr>
      <w:r>
        <w:rPr>
          <w:rFonts w:hint="eastAsia" w:ascii="仿宋_GB2312"/>
        </w:rPr>
        <w:t>（一）因公出国（境）费</w:t>
      </w:r>
      <w:r>
        <w:rPr>
          <w:rFonts w:hint="eastAsia" w:ascii="仿宋_GB2312" w:hAnsi="宋体"/>
          <w:szCs w:val="32"/>
          <w:lang w:eastAsia="zh-CN"/>
        </w:rPr>
        <w:t>2026</w:t>
      </w:r>
      <w:r>
        <w:rPr>
          <w:rFonts w:hint="eastAsia" w:ascii="仿宋_GB2312" w:hAnsi="宋体"/>
          <w:szCs w:val="32"/>
        </w:rPr>
        <w:t>年预算安排</w:t>
      </w:r>
      <w:r>
        <w:rPr>
          <w:rFonts w:ascii="仿宋_GB2312" w:hAnsi="宋体"/>
          <w:szCs w:val="32"/>
        </w:rPr>
        <w:t>0</w:t>
      </w:r>
      <w:r>
        <w:rPr>
          <w:rFonts w:hint="eastAsia" w:ascii="仿宋_GB2312" w:hAnsi="宋体"/>
          <w:szCs w:val="32"/>
        </w:rPr>
        <w:t>万元，与上年持平。</w:t>
      </w:r>
    </w:p>
    <w:p w14:paraId="187D888D">
      <w:pPr>
        <w:tabs>
          <w:tab w:val="center" w:pos="4475"/>
        </w:tabs>
        <w:spacing w:line="560" w:lineRule="exact"/>
        <w:ind w:firstLine="645"/>
        <w:rPr>
          <w:rFonts w:hint="eastAsia" w:ascii="仿宋_GB2312" w:hAnsi="宋体"/>
          <w:szCs w:val="32"/>
        </w:rPr>
      </w:pPr>
      <w:r>
        <w:rPr>
          <w:rFonts w:hint="eastAsia" w:ascii="仿宋_GB2312"/>
        </w:rPr>
        <w:t>（二）公务用车购置及运行费</w:t>
      </w:r>
      <w:r>
        <w:rPr>
          <w:rFonts w:hint="eastAsia" w:ascii="仿宋_GB2312" w:hAnsi="宋体"/>
          <w:szCs w:val="32"/>
          <w:lang w:eastAsia="zh-CN"/>
        </w:rPr>
        <w:t>2026</w:t>
      </w:r>
      <w:r>
        <w:rPr>
          <w:rFonts w:hint="eastAsia" w:ascii="仿宋_GB2312" w:hAnsi="宋体"/>
          <w:szCs w:val="32"/>
        </w:rPr>
        <w:t>年预算安排0万元，与上年持平。其中：</w:t>
      </w:r>
    </w:p>
    <w:p w14:paraId="58DC3C78">
      <w:pPr>
        <w:tabs>
          <w:tab w:val="center" w:pos="4475"/>
        </w:tabs>
        <w:spacing w:line="560" w:lineRule="exact"/>
        <w:ind w:firstLine="645"/>
        <w:rPr>
          <w:rFonts w:hint="eastAsia" w:ascii="仿宋_GB2312" w:hAnsi="Arial" w:cs="Arial"/>
          <w:kern w:val="0"/>
        </w:rPr>
      </w:pPr>
      <w:r>
        <w:rPr>
          <w:rFonts w:hint="eastAsia" w:ascii="仿宋_GB2312" w:hAnsi="宋体"/>
          <w:szCs w:val="32"/>
        </w:rPr>
        <w:t>公务用车购置费</w:t>
      </w:r>
      <w:r>
        <w:rPr>
          <w:rFonts w:hint="eastAsia" w:ascii="仿宋_GB2312" w:hAnsi="宋体"/>
          <w:szCs w:val="32"/>
          <w:lang w:eastAsia="zh-CN"/>
        </w:rPr>
        <w:t>2026</w:t>
      </w:r>
      <w:r>
        <w:rPr>
          <w:rFonts w:hint="eastAsia" w:ascii="仿宋_GB2312" w:hAnsi="宋体"/>
          <w:szCs w:val="32"/>
        </w:rPr>
        <w:t>年预算安排0万元，与上年持平</w:t>
      </w:r>
      <w:r>
        <w:rPr>
          <w:rFonts w:ascii="仿宋_GB2312" w:hAnsi="Arial" w:cs="Arial"/>
          <w:kern w:val="0"/>
        </w:rPr>
        <w:t>；</w:t>
      </w:r>
    </w:p>
    <w:p w14:paraId="19411910">
      <w:pPr>
        <w:tabs>
          <w:tab w:val="center" w:pos="4475"/>
        </w:tabs>
        <w:spacing w:line="560" w:lineRule="exact"/>
        <w:ind w:firstLine="645"/>
        <w:rPr>
          <w:rFonts w:hint="eastAsia" w:ascii="黑体" w:eastAsia="黑体"/>
          <w:szCs w:val="32"/>
        </w:rPr>
      </w:pPr>
      <w:r>
        <w:rPr>
          <w:rFonts w:hint="eastAsia" w:ascii="仿宋_GB2312" w:hAnsi="宋体"/>
          <w:szCs w:val="32"/>
        </w:rPr>
        <w:t>公务用车运行维护费</w:t>
      </w:r>
      <w:r>
        <w:rPr>
          <w:rFonts w:hint="eastAsia" w:ascii="仿宋_GB2312" w:hAnsi="宋体"/>
          <w:szCs w:val="32"/>
          <w:lang w:eastAsia="zh-CN"/>
        </w:rPr>
        <w:t>2026</w:t>
      </w:r>
      <w:r>
        <w:rPr>
          <w:rFonts w:hint="eastAsia" w:ascii="仿宋_GB2312" w:hAnsi="宋体"/>
          <w:szCs w:val="32"/>
        </w:rPr>
        <w:t>年预算安排0万元，与上年持平</w:t>
      </w:r>
      <w:r>
        <w:rPr>
          <w:rFonts w:hint="eastAsia" w:ascii="仿宋_GB2312" w:hAnsi="Arial" w:cs="Arial"/>
          <w:kern w:val="0"/>
        </w:rPr>
        <w:t>。</w:t>
      </w:r>
    </w:p>
    <w:p w14:paraId="4D85323E">
      <w:pPr>
        <w:tabs>
          <w:tab w:val="center" w:pos="4475"/>
        </w:tabs>
        <w:spacing w:line="560" w:lineRule="exact"/>
        <w:ind w:firstLine="645"/>
        <w:rPr>
          <w:rFonts w:hint="eastAsia" w:ascii="仿宋_GB2312" w:hAnsi="Arial" w:cs="Arial"/>
          <w:kern w:val="0"/>
        </w:rPr>
      </w:pPr>
      <w:r>
        <w:rPr>
          <w:rFonts w:hint="eastAsia" w:ascii="仿宋_GB2312"/>
        </w:rPr>
        <w:t>（三）公务接待费</w:t>
      </w:r>
      <w:r>
        <w:rPr>
          <w:rFonts w:hint="eastAsia" w:ascii="仿宋_GB2312" w:hAnsi="宋体"/>
          <w:szCs w:val="32"/>
          <w:lang w:eastAsia="zh-CN"/>
        </w:rPr>
        <w:t>2026</w:t>
      </w:r>
      <w:r>
        <w:rPr>
          <w:rFonts w:hint="eastAsia" w:ascii="仿宋_GB2312" w:hAnsi="宋体"/>
          <w:szCs w:val="32"/>
        </w:rPr>
        <w:t>年预算安排</w:t>
      </w:r>
      <w:r>
        <w:rPr>
          <w:rFonts w:hint="eastAsia" w:ascii="宋体" w:hAnsi="宋体" w:cs="宋体"/>
          <w:color w:val="000000"/>
          <w:kern w:val="0"/>
          <w:szCs w:val="32"/>
        </w:rPr>
        <w:t>0.17</w:t>
      </w:r>
      <w:r>
        <w:rPr>
          <w:rFonts w:hint="eastAsia" w:ascii="仿宋_GB2312" w:hAnsi="宋体"/>
          <w:szCs w:val="32"/>
        </w:rPr>
        <w:t>万元，与上年持平</w:t>
      </w:r>
      <w:r>
        <w:rPr>
          <w:rFonts w:hint="eastAsia" w:ascii="仿宋_GB2312" w:hAnsi="Arial" w:cs="Arial"/>
          <w:kern w:val="0"/>
        </w:rPr>
        <w:t>。</w:t>
      </w:r>
    </w:p>
    <w:p w14:paraId="56E444D3">
      <w:pPr>
        <w:tabs>
          <w:tab w:val="center" w:pos="4475"/>
        </w:tabs>
        <w:spacing w:line="560" w:lineRule="exact"/>
        <w:ind w:firstLine="645"/>
        <w:rPr>
          <w:rFonts w:hint="eastAsia" w:ascii="楷体_GB2312" w:hAnsi="楷体_GB2312" w:eastAsia="楷体_GB2312" w:cs="楷体_GB2312"/>
          <w:szCs w:val="32"/>
        </w:rPr>
      </w:pPr>
      <w:r>
        <w:rPr>
          <w:rFonts w:hint="eastAsia" w:ascii="黑体" w:eastAsia="黑体"/>
          <w:szCs w:val="32"/>
        </w:rPr>
        <w:t>七、</w:t>
      </w:r>
      <w:r>
        <w:rPr>
          <w:rFonts w:hint="eastAsia" w:ascii="黑体" w:hAnsi="黑体" w:eastAsia="黑体" w:cs="黑体"/>
          <w:szCs w:val="32"/>
        </w:rPr>
        <w:t>事业单位相关运行经费安排情况说明</w:t>
      </w:r>
    </w:p>
    <w:p w14:paraId="43AD5CC7">
      <w:pPr>
        <w:tabs>
          <w:tab w:val="center" w:pos="4475"/>
        </w:tabs>
        <w:spacing w:line="560" w:lineRule="exact"/>
        <w:ind w:firstLine="645"/>
        <w:rPr>
          <w:rFonts w:ascii="仿宋_GB2312"/>
          <w:szCs w:val="32"/>
        </w:rPr>
      </w:pPr>
      <w:r>
        <w:rPr>
          <w:rFonts w:hint="eastAsia" w:ascii="仿宋_GB2312" w:hAnsi="宋体"/>
          <w:szCs w:val="32"/>
        </w:rPr>
        <w:t>我单位事业单位运行经费主要包括办公及印刷费、邮电费、差旅费、会议费、福利费、培训费、工会经费、日常维修费、办公用房水电费、其他交通费用、其他商品和服务支出。我单位</w:t>
      </w:r>
      <w:r>
        <w:rPr>
          <w:rFonts w:hint="eastAsia" w:ascii="仿宋_GB2312" w:hAnsi="宋体"/>
          <w:szCs w:val="32"/>
          <w:lang w:eastAsia="zh-CN"/>
        </w:rPr>
        <w:t>2026</w:t>
      </w:r>
      <w:r>
        <w:rPr>
          <w:rFonts w:hint="eastAsia" w:ascii="仿宋_GB2312" w:hAnsi="宋体"/>
          <w:szCs w:val="32"/>
        </w:rPr>
        <w:t>年机关（事业单位）运行经费预算</w:t>
      </w:r>
      <w:r>
        <w:rPr>
          <w:rFonts w:hint="eastAsia" w:ascii="仿宋_GB2312" w:hAnsi="宋体"/>
          <w:szCs w:val="32"/>
          <w:lang w:val="en-US" w:eastAsia="zh-CN"/>
        </w:rPr>
        <w:t>222.96</w:t>
      </w:r>
      <w:r>
        <w:rPr>
          <w:rFonts w:hint="eastAsia" w:ascii="仿宋_GB2312" w:hAnsi="宋体"/>
          <w:szCs w:val="32"/>
        </w:rPr>
        <w:t>万元，较上年</w:t>
      </w:r>
      <w:r>
        <w:rPr>
          <w:rFonts w:hint="eastAsia" w:ascii="仿宋_GB2312" w:hAnsi="仿宋"/>
          <w:snapToGrid w:val="0"/>
          <w:color w:val="000000"/>
          <w:szCs w:val="32"/>
        </w:rPr>
        <w:t>增加</w:t>
      </w:r>
      <w:r>
        <w:rPr>
          <w:rFonts w:hint="eastAsia" w:ascii="仿宋_GB2312" w:hAnsi="仿宋"/>
          <w:snapToGrid w:val="0"/>
          <w:color w:val="000000"/>
          <w:szCs w:val="32"/>
          <w:lang w:val="en-US" w:eastAsia="zh-CN"/>
        </w:rPr>
        <w:t>183.39</w:t>
      </w:r>
      <w:r>
        <w:rPr>
          <w:rFonts w:hint="eastAsia" w:ascii="仿宋_GB2312" w:hAnsi="仿宋"/>
          <w:snapToGrid w:val="0"/>
          <w:color w:val="000000"/>
          <w:szCs w:val="32"/>
        </w:rPr>
        <w:t>万元，增长</w:t>
      </w:r>
      <w:r>
        <w:rPr>
          <w:rFonts w:hint="eastAsia" w:ascii="仿宋_GB2312" w:hAnsi="仿宋"/>
          <w:snapToGrid w:val="0"/>
          <w:color w:val="000000"/>
          <w:szCs w:val="32"/>
          <w:lang w:val="en-US" w:eastAsia="zh-CN"/>
        </w:rPr>
        <w:t>463.46</w:t>
      </w:r>
      <w:r>
        <w:rPr>
          <w:rFonts w:hint="eastAsia" w:ascii="仿宋_GB2312" w:hAnsi="仿宋"/>
          <w:snapToGrid w:val="0"/>
          <w:color w:val="000000"/>
          <w:szCs w:val="32"/>
        </w:rPr>
        <w:t>％</w:t>
      </w:r>
      <w:r>
        <w:rPr>
          <w:rFonts w:hint="eastAsia" w:ascii="仿宋_GB2312"/>
          <w:szCs w:val="32"/>
        </w:rPr>
        <w:t>，增长的主要原因是</w:t>
      </w:r>
      <w:r>
        <w:rPr>
          <w:rFonts w:hint="eastAsia" w:ascii="仿宋_GB2312" w:hAnsi="仿宋"/>
          <w:snapToGrid w:val="0"/>
          <w:color w:val="000000"/>
          <w:szCs w:val="32"/>
          <w:lang w:val="en-US" w:eastAsia="zh-CN"/>
        </w:rPr>
        <w:t>根据2026年部门预算编制要求，将物业管理费、党团工青妇经费、残疾人保障金经费项目从项目支出调整到基本支出，单位运行经费预算支出相应增长</w:t>
      </w:r>
      <w:r>
        <w:rPr>
          <w:rFonts w:hint="eastAsia" w:ascii="仿宋_GB2312"/>
          <w:szCs w:val="32"/>
        </w:rPr>
        <w:t>。</w:t>
      </w:r>
    </w:p>
    <w:p w14:paraId="0D2446D0">
      <w:pPr>
        <w:adjustRightInd w:val="0"/>
        <w:snapToGrid w:val="0"/>
        <w:spacing w:line="560" w:lineRule="exact"/>
        <w:ind w:firstLine="640" w:firstLineChars="200"/>
        <w:textAlignment w:val="baseline"/>
        <w:rPr>
          <w:rFonts w:hint="eastAsia" w:ascii="仿宋_GB2312" w:hAnsi="仿宋"/>
          <w:snapToGrid w:val="0"/>
          <w:color w:val="000000"/>
          <w:szCs w:val="32"/>
        </w:rPr>
      </w:pPr>
      <w:r>
        <w:rPr>
          <w:rFonts w:hint="eastAsia" w:ascii="仿宋_GB2312" w:hAnsi="仿宋"/>
          <w:snapToGrid w:val="0"/>
          <w:color w:val="000000"/>
          <w:szCs w:val="32"/>
        </w:rPr>
        <w:t>办公费2</w:t>
      </w:r>
      <w:r>
        <w:rPr>
          <w:rFonts w:hint="eastAsia" w:ascii="仿宋_GB2312" w:hAnsi="仿宋"/>
          <w:snapToGrid w:val="0"/>
          <w:color w:val="000000"/>
          <w:szCs w:val="32"/>
          <w:lang w:val="en-US" w:eastAsia="zh-CN"/>
        </w:rPr>
        <w:t>.25</w:t>
      </w:r>
      <w:r>
        <w:rPr>
          <w:rFonts w:hint="eastAsia" w:ascii="仿宋_GB2312" w:hAnsi="仿宋"/>
          <w:snapToGrid w:val="0"/>
          <w:color w:val="000000"/>
          <w:szCs w:val="32"/>
        </w:rPr>
        <w:t>万元，同比增加</w:t>
      </w:r>
      <w:r>
        <w:rPr>
          <w:rFonts w:hint="eastAsia" w:ascii="仿宋_GB2312" w:hAnsi="仿宋"/>
          <w:snapToGrid w:val="0"/>
          <w:color w:val="000000"/>
          <w:szCs w:val="32"/>
          <w:lang w:val="en-US" w:eastAsia="zh-CN"/>
        </w:rPr>
        <w:t>0.25</w:t>
      </w:r>
      <w:r>
        <w:rPr>
          <w:rFonts w:hint="eastAsia" w:ascii="仿宋_GB2312" w:hAnsi="仿宋"/>
          <w:snapToGrid w:val="0"/>
          <w:color w:val="000000"/>
          <w:szCs w:val="32"/>
        </w:rPr>
        <w:t>万元，增长</w:t>
      </w:r>
      <w:r>
        <w:rPr>
          <w:rFonts w:hint="eastAsia" w:ascii="仿宋_GB2312" w:hAnsi="仿宋"/>
          <w:snapToGrid w:val="0"/>
          <w:color w:val="000000"/>
          <w:szCs w:val="32"/>
          <w:lang w:val="en-US" w:eastAsia="zh-CN"/>
        </w:rPr>
        <w:t>12.50</w:t>
      </w:r>
      <w:r>
        <w:rPr>
          <w:rFonts w:hint="eastAsia" w:ascii="仿宋_GB2312" w:hAnsi="仿宋"/>
          <w:snapToGrid w:val="0"/>
          <w:color w:val="000000"/>
          <w:szCs w:val="32"/>
        </w:rPr>
        <w:t>%。</w:t>
      </w:r>
      <w:r>
        <w:rPr>
          <w:rFonts w:hint="eastAsia" w:ascii="仿宋_GB2312" w:hAnsi="仿宋"/>
          <w:snapToGrid w:val="0"/>
          <w:color w:val="000000"/>
          <w:szCs w:val="32"/>
          <w:lang w:val="en-US" w:eastAsia="zh-CN"/>
        </w:rPr>
        <w:t>增长</w:t>
      </w:r>
      <w:r>
        <w:rPr>
          <w:rFonts w:hint="eastAsia" w:ascii="仿宋_GB2312" w:hAnsi="仿宋"/>
          <w:snapToGrid w:val="0"/>
          <w:color w:val="000000"/>
          <w:szCs w:val="32"/>
        </w:rPr>
        <w:t>原因是根据工作实际情况调整公用经费。</w:t>
      </w:r>
    </w:p>
    <w:p w14:paraId="7278EEE0">
      <w:pPr>
        <w:adjustRightInd w:val="0"/>
        <w:snapToGrid w:val="0"/>
        <w:spacing w:line="560" w:lineRule="exact"/>
        <w:ind w:firstLine="640" w:firstLineChars="200"/>
        <w:textAlignment w:val="baseline"/>
        <w:rPr>
          <w:rFonts w:hint="eastAsia" w:ascii="仿宋_GB2312" w:hAnsi="仿宋"/>
          <w:snapToGrid w:val="0"/>
          <w:color w:val="000000"/>
          <w:szCs w:val="32"/>
        </w:rPr>
      </w:pPr>
      <w:r>
        <w:rPr>
          <w:rFonts w:hint="eastAsia" w:ascii="仿宋_GB2312" w:hAnsi="仿宋"/>
          <w:snapToGrid w:val="0"/>
          <w:color w:val="000000"/>
          <w:szCs w:val="32"/>
        </w:rPr>
        <w:t>印刷费0.60万元，与上年持平。</w:t>
      </w:r>
    </w:p>
    <w:p w14:paraId="50DF8F37">
      <w:pPr>
        <w:adjustRightInd w:val="0"/>
        <w:snapToGrid w:val="0"/>
        <w:spacing w:line="560" w:lineRule="exact"/>
        <w:ind w:firstLine="640" w:firstLineChars="200"/>
        <w:textAlignment w:val="baseline"/>
        <w:rPr>
          <w:rFonts w:hint="eastAsia" w:ascii="仿宋_GB2312" w:hAnsi="仿宋" w:eastAsia="仿宋_GB2312"/>
          <w:snapToGrid w:val="0"/>
          <w:color w:val="000000"/>
          <w:szCs w:val="32"/>
          <w:lang w:eastAsia="zh-CN"/>
        </w:rPr>
      </w:pPr>
      <w:r>
        <w:rPr>
          <w:rFonts w:hint="eastAsia" w:ascii="仿宋_GB2312" w:hAnsi="仿宋"/>
          <w:snapToGrid w:val="0"/>
          <w:color w:val="000000"/>
          <w:szCs w:val="32"/>
        </w:rPr>
        <w:t>手续费0.</w:t>
      </w:r>
      <w:r>
        <w:rPr>
          <w:rFonts w:hint="eastAsia" w:ascii="仿宋_GB2312" w:hAnsi="仿宋"/>
          <w:snapToGrid w:val="0"/>
          <w:color w:val="000000"/>
          <w:szCs w:val="32"/>
          <w:lang w:val="en-US" w:eastAsia="zh-CN"/>
        </w:rPr>
        <w:t>1</w:t>
      </w:r>
      <w:r>
        <w:rPr>
          <w:rFonts w:hint="eastAsia" w:ascii="仿宋_GB2312" w:hAnsi="仿宋"/>
          <w:snapToGrid w:val="0"/>
          <w:color w:val="000000"/>
          <w:szCs w:val="32"/>
        </w:rPr>
        <w:t>0万元，较上年</w:t>
      </w:r>
      <w:r>
        <w:rPr>
          <w:rFonts w:hint="eastAsia" w:ascii="仿宋_GB2312" w:hAnsi="仿宋"/>
          <w:snapToGrid w:val="0"/>
          <w:color w:val="000000"/>
          <w:szCs w:val="32"/>
          <w:lang w:val="en-US" w:eastAsia="zh-CN"/>
        </w:rPr>
        <w:t>减少</w:t>
      </w:r>
      <w:r>
        <w:rPr>
          <w:rFonts w:hint="eastAsia" w:ascii="仿宋_GB2312" w:hAnsi="仿宋"/>
          <w:snapToGrid w:val="0"/>
          <w:color w:val="000000"/>
          <w:szCs w:val="32"/>
        </w:rPr>
        <w:t>0</w:t>
      </w:r>
      <w:r>
        <w:rPr>
          <w:rFonts w:ascii="仿宋_GB2312" w:hAnsi="仿宋"/>
          <w:snapToGrid w:val="0"/>
          <w:color w:val="000000"/>
          <w:szCs w:val="32"/>
        </w:rPr>
        <w:t>.10</w:t>
      </w:r>
      <w:r>
        <w:rPr>
          <w:rFonts w:hint="eastAsia" w:ascii="仿宋_GB2312" w:hAnsi="仿宋"/>
          <w:snapToGrid w:val="0"/>
          <w:color w:val="000000"/>
          <w:szCs w:val="32"/>
        </w:rPr>
        <w:t>万元</w:t>
      </w:r>
      <w:r>
        <w:rPr>
          <w:rFonts w:hint="eastAsia" w:ascii="仿宋_GB2312" w:hAnsi="仿宋"/>
          <w:snapToGrid w:val="0"/>
          <w:color w:val="000000"/>
          <w:szCs w:val="32"/>
          <w:lang w:eastAsia="zh-CN"/>
        </w:rPr>
        <w:t>，</w:t>
      </w:r>
      <w:r>
        <w:rPr>
          <w:rFonts w:hint="eastAsia" w:ascii="仿宋_GB2312" w:hAnsi="仿宋"/>
          <w:snapToGrid w:val="0"/>
          <w:color w:val="000000"/>
          <w:szCs w:val="32"/>
          <w:lang w:val="en-US" w:eastAsia="zh-CN"/>
        </w:rPr>
        <w:t>下降50</w:t>
      </w:r>
      <w:r>
        <w:rPr>
          <w:rFonts w:hint="eastAsia" w:ascii="仿宋_GB2312" w:hAnsi="仿宋"/>
          <w:snapToGrid w:val="0"/>
          <w:color w:val="000000"/>
          <w:szCs w:val="32"/>
        </w:rPr>
        <w:t>％</w:t>
      </w:r>
      <w:r>
        <w:rPr>
          <w:rFonts w:hint="eastAsia" w:ascii="仿宋_GB2312" w:hAnsi="仿宋"/>
          <w:snapToGrid w:val="0"/>
          <w:color w:val="000000"/>
          <w:szCs w:val="32"/>
          <w:lang w:eastAsia="zh-CN"/>
        </w:rPr>
        <w:t>。</w:t>
      </w:r>
      <w:r>
        <w:rPr>
          <w:rFonts w:hint="eastAsia" w:ascii="仿宋_GB2312" w:hAnsi="仿宋"/>
          <w:snapToGrid w:val="0"/>
          <w:color w:val="000000"/>
          <w:szCs w:val="32"/>
          <w:lang w:val="en-US" w:eastAsia="zh-CN"/>
        </w:rPr>
        <w:t>减少</w:t>
      </w:r>
      <w:r>
        <w:rPr>
          <w:rFonts w:hint="eastAsia" w:ascii="仿宋_GB2312" w:hAnsi="仿宋"/>
          <w:snapToGrid w:val="0"/>
          <w:color w:val="000000"/>
          <w:szCs w:val="32"/>
        </w:rPr>
        <w:t>原因是根据工作实际情况调整公用经费。</w:t>
      </w:r>
    </w:p>
    <w:p w14:paraId="68904CBB">
      <w:pPr>
        <w:adjustRightInd w:val="0"/>
        <w:snapToGrid w:val="0"/>
        <w:spacing w:line="560" w:lineRule="exact"/>
        <w:ind w:firstLine="640" w:firstLineChars="200"/>
        <w:textAlignment w:val="baseline"/>
        <w:rPr>
          <w:rFonts w:ascii="仿宋_GB2312" w:hAnsi="仿宋"/>
          <w:snapToGrid w:val="0"/>
          <w:color w:val="000000"/>
          <w:szCs w:val="32"/>
        </w:rPr>
      </w:pPr>
      <w:r>
        <w:rPr>
          <w:rFonts w:hint="eastAsia" w:ascii="仿宋_GB2312" w:hAnsi="仿宋"/>
          <w:snapToGrid w:val="0"/>
          <w:color w:val="000000"/>
          <w:szCs w:val="32"/>
        </w:rPr>
        <w:t>水费0.30万元，与上年持平。</w:t>
      </w:r>
    </w:p>
    <w:p w14:paraId="61D1F5E2">
      <w:pPr>
        <w:adjustRightInd w:val="0"/>
        <w:snapToGrid w:val="0"/>
        <w:spacing w:line="560" w:lineRule="exact"/>
        <w:ind w:firstLine="640" w:firstLineChars="200"/>
        <w:textAlignment w:val="baseline"/>
        <w:rPr>
          <w:rFonts w:ascii="仿宋_GB2312" w:hAnsi="仿宋"/>
          <w:snapToGrid w:val="0"/>
          <w:color w:val="000000"/>
          <w:szCs w:val="32"/>
        </w:rPr>
      </w:pPr>
      <w:r>
        <w:rPr>
          <w:rFonts w:hint="eastAsia" w:ascii="仿宋_GB2312" w:hAnsi="仿宋"/>
          <w:snapToGrid w:val="0"/>
          <w:color w:val="000000"/>
          <w:szCs w:val="32"/>
        </w:rPr>
        <w:t>电费1.30万元，与上年持平。</w:t>
      </w:r>
    </w:p>
    <w:p w14:paraId="65335655">
      <w:pPr>
        <w:adjustRightInd w:val="0"/>
        <w:snapToGrid w:val="0"/>
        <w:spacing w:line="560" w:lineRule="exact"/>
        <w:ind w:firstLine="640" w:firstLineChars="200"/>
        <w:textAlignment w:val="baseline"/>
        <w:rPr>
          <w:rFonts w:hint="eastAsia" w:ascii="仿宋_GB2312" w:hAnsi="仿宋"/>
          <w:snapToGrid w:val="0"/>
          <w:color w:val="000000"/>
          <w:szCs w:val="32"/>
        </w:rPr>
      </w:pPr>
      <w:r>
        <w:rPr>
          <w:rFonts w:hint="eastAsia" w:ascii="仿宋_GB2312" w:hAnsi="仿宋"/>
          <w:snapToGrid w:val="0"/>
          <w:color w:val="000000"/>
          <w:szCs w:val="32"/>
        </w:rPr>
        <w:t>邮电费</w:t>
      </w:r>
      <w:r>
        <w:rPr>
          <w:rFonts w:hint="eastAsia" w:ascii="仿宋_GB2312" w:hAnsi="仿宋"/>
          <w:snapToGrid w:val="0"/>
          <w:color w:val="000000"/>
          <w:szCs w:val="32"/>
          <w:lang w:val="en-US" w:eastAsia="zh-CN"/>
        </w:rPr>
        <w:t>3.32</w:t>
      </w:r>
      <w:r>
        <w:rPr>
          <w:rFonts w:hint="eastAsia" w:ascii="仿宋_GB2312" w:hAnsi="仿宋"/>
          <w:snapToGrid w:val="0"/>
          <w:color w:val="000000"/>
          <w:szCs w:val="32"/>
        </w:rPr>
        <w:t>万元，较上年增加</w:t>
      </w:r>
      <w:r>
        <w:rPr>
          <w:rFonts w:hint="eastAsia" w:ascii="仿宋_GB2312" w:hAnsi="仿宋"/>
          <w:snapToGrid w:val="0"/>
          <w:color w:val="000000"/>
          <w:szCs w:val="32"/>
          <w:lang w:val="en-US" w:eastAsia="zh-CN"/>
        </w:rPr>
        <w:t>0.36</w:t>
      </w:r>
      <w:r>
        <w:rPr>
          <w:rFonts w:hint="eastAsia" w:ascii="仿宋_GB2312" w:hAnsi="仿宋"/>
          <w:snapToGrid w:val="0"/>
          <w:color w:val="000000"/>
          <w:szCs w:val="32"/>
        </w:rPr>
        <w:t>万元，增长</w:t>
      </w:r>
      <w:r>
        <w:rPr>
          <w:rFonts w:hint="eastAsia" w:ascii="仿宋_GB2312" w:hAnsi="仿宋"/>
          <w:snapToGrid w:val="0"/>
          <w:color w:val="000000"/>
          <w:szCs w:val="32"/>
          <w:lang w:val="en-US" w:eastAsia="zh-CN"/>
        </w:rPr>
        <w:t>12.16</w:t>
      </w:r>
      <w:r>
        <w:rPr>
          <w:rFonts w:hint="eastAsia" w:ascii="仿宋_GB2312" w:hAnsi="仿宋"/>
          <w:snapToGrid w:val="0"/>
          <w:color w:val="000000"/>
          <w:szCs w:val="32"/>
        </w:rPr>
        <w:t>％，</w:t>
      </w:r>
      <w:r>
        <w:rPr>
          <w:rFonts w:hint="eastAsia" w:ascii="仿宋_GB2312" w:hAnsi="仿宋"/>
          <w:snapToGrid w:val="0"/>
          <w:color w:val="000000"/>
          <w:szCs w:val="32"/>
          <w:lang w:val="en-US" w:eastAsia="zh-CN"/>
        </w:rPr>
        <w:t>增长</w:t>
      </w:r>
      <w:r>
        <w:rPr>
          <w:rFonts w:hint="eastAsia" w:ascii="仿宋_GB2312" w:hAnsi="仿宋"/>
          <w:snapToGrid w:val="0"/>
          <w:color w:val="000000"/>
          <w:szCs w:val="32"/>
        </w:rPr>
        <w:t>原因是根据工作实际情况调整公用经费。</w:t>
      </w:r>
    </w:p>
    <w:p w14:paraId="24B5AAB4">
      <w:pPr>
        <w:adjustRightInd w:val="0"/>
        <w:snapToGrid w:val="0"/>
        <w:spacing w:line="560" w:lineRule="exact"/>
        <w:ind w:firstLine="640" w:firstLineChars="200"/>
        <w:textAlignment w:val="baseline"/>
        <w:rPr>
          <w:rFonts w:hint="eastAsia" w:ascii="仿宋_GB2312" w:hAnsi="仿宋"/>
          <w:snapToGrid w:val="0"/>
          <w:color w:val="000000"/>
          <w:szCs w:val="32"/>
        </w:rPr>
      </w:pPr>
      <w:r>
        <w:rPr>
          <w:rFonts w:hint="eastAsia" w:ascii="仿宋_GB2312" w:hAnsi="仿宋"/>
          <w:snapToGrid w:val="0"/>
          <w:color w:val="000000"/>
          <w:szCs w:val="32"/>
          <w:lang w:val="en-US" w:eastAsia="zh-CN"/>
        </w:rPr>
        <w:t>物业管理费174.20万元，</w:t>
      </w:r>
      <w:r>
        <w:rPr>
          <w:rFonts w:hint="eastAsia" w:ascii="仿宋_GB2312" w:hAnsi="仿宋"/>
          <w:snapToGrid w:val="0"/>
          <w:color w:val="000000"/>
          <w:szCs w:val="32"/>
        </w:rPr>
        <w:t>较上年增加</w:t>
      </w:r>
      <w:r>
        <w:rPr>
          <w:rFonts w:hint="eastAsia" w:ascii="仿宋_GB2312" w:hAnsi="仿宋"/>
          <w:snapToGrid w:val="0"/>
          <w:color w:val="000000"/>
          <w:szCs w:val="32"/>
          <w:lang w:val="en-US" w:eastAsia="zh-CN"/>
        </w:rPr>
        <w:t>174.20万元</w:t>
      </w:r>
      <w:r>
        <w:rPr>
          <w:rFonts w:hint="eastAsia" w:ascii="仿宋_GB2312" w:hAnsi="仿宋"/>
          <w:snapToGrid w:val="0"/>
          <w:color w:val="000000"/>
          <w:szCs w:val="32"/>
        </w:rPr>
        <w:t>，增长</w:t>
      </w:r>
      <w:r>
        <w:rPr>
          <w:rFonts w:hint="eastAsia" w:ascii="仿宋_GB2312" w:hAnsi="仿宋"/>
          <w:snapToGrid w:val="0"/>
          <w:color w:val="000000"/>
          <w:szCs w:val="32"/>
          <w:lang w:val="en-US" w:eastAsia="zh-CN"/>
        </w:rPr>
        <w:t>100</w:t>
      </w:r>
      <w:r>
        <w:rPr>
          <w:rFonts w:hint="eastAsia" w:ascii="仿宋_GB2312" w:hAnsi="仿宋"/>
          <w:snapToGrid w:val="0"/>
          <w:color w:val="000000"/>
          <w:szCs w:val="32"/>
        </w:rPr>
        <w:t>％，</w:t>
      </w:r>
      <w:r>
        <w:rPr>
          <w:rFonts w:hint="eastAsia" w:ascii="仿宋_GB2312" w:hAnsi="仿宋"/>
          <w:snapToGrid w:val="0"/>
          <w:color w:val="000000"/>
          <w:szCs w:val="32"/>
          <w:lang w:val="en-US" w:eastAsia="zh-CN"/>
        </w:rPr>
        <w:t>增长</w:t>
      </w:r>
      <w:r>
        <w:rPr>
          <w:rFonts w:hint="eastAsia" w:ascii="仿宋_GB2312" w:hAnsi="仿宋"/>
          <w:snapToGrid w:val="0"/>
          <w:color w:val="000000"/>
          <w:szCs w:val="32"/>
        </w:rPr>
        <w:t>原因是</w:t>
      </w:r>
      <w:r>
        <w:rPr>
          <w:rFonts w:hint="eastAsia" w:ascii="仿宋_GB2312" w:hAnsi="仿宋"/>
          <w:snapToGrid w:val="0"/>
          <w:color w:val="000000"/>
          <w:szCs w:val="32"/>
          <w:lang w:val="en-US" w:eastAsia="zh-CN"/>
        </w:rPr>
        <w:t>根据2026年部门预算编制要求，将物业管理费从项目支出调整到基本支出</w:t>
      </w:r>
      <w:r>
        <w:rPr>
          <w:rFonts w:hint="eastAsia" w:ascii="仿宋_GB2312" w:hAnsi="仿宋"/>
          <w:snapToGrid w:val="0"/>
          <w:color w:val="000000"/>
          <w:szCs w:val="32"/>
        </w:rPr>
        <w:t>。</w:t>
      </w:r>
    </w:p>
    <w:p w14:paraId="6122EDA4">
      <w:pPr>
        <w:adjustRightInd w:val="0"/>
        <w:snapToGrid w:val="0"/>
        <w:spacing w:line="560" w:lineRule="exact"/>
        <w:ind w:firstLine="640" w:firstLineChars="200"/>
        <w:textAlignment w:val="baseline"/>
        <w:rPr>
          <w:rFonts w:hint="eastAsia" w:ascii="仿宋_GB2312" w:hAnsi="仿宋"/>
          <w:snapToGrid w:val="0"/>
          <w:color w:val="000000"/>
          <w:szCs w:val="32"/>
        </w:rPr>
      </w:pPr>
      <w:r>
        <w:rPr>
          <w:rFonts w:hint="eastAsia" w:ascii="仿宋_GB2312" w:hAnsi="仿宋"/>
          <w:snapToGrid w:val="0"/>
          <w:color w:val="000000"/>
          <w:szCs w:val="32"/>
        </w:rPr>
        <w:t>差旅费3.</w:t>
      </w:r>
      <w:r>
        <w:rPr>
          <w:rFonts w:hint="eastAsia" w:ascii="仿宋_GB2312" w:hAnsi="仿宋"/>
          <w:snapToGrid w:val="0"/>
          <w:color w:val="000000"/>
          <w:szCs w:val="32"/>
          <w:lang w:val="en-US" w:eastAsia="zh-CN"/>
        </w:rPr>
        <w:t>7</w:t>
      </w:r>
      <w:r>
        <w:rPr>
          <w:rFonts w:hint="eastAsia" w:ascii="仿宋_GB2312" w:hAnsi="仿宋"/>
          <w:snapToGrid w:val="0"/>
          <w:color w:val="000000"/>
          <w:szCs w:val="32"/>
        </w:rPr>
        <w:t>0万元，较上年</w:t>
      </w:r>
      <w:r>
        <w:rPr>
          <w:rFonts w:hint="eastAsia" w:ascii="仿宋_GB2312" w:hAnsi="仿宋"/>
          <w:snapToGrid w:val="0"/>
          <w:color w:val="000000"/>
          <w:szCs w:val="32"/>
          <w:lang w:val="en-US" w:eastAsia="zh-CN"/>
        </w:rPr>
        <w:t>减少</w:t>
      </w:r>
      <w:r>
        <w:rPr>
          <w:rFonts w:hint="eastAsia" w:ascii="仿宋_GB2312" w:hAnsi="仿宋"/>
          <w:snapToGrid w:val="0"/>
          <w:color w:val="000000"/>
          <w:szCs w:val="32"/>
        </w:rPr>
        <w:t>0</w:t>
      </w:r>
      <w:r>
        <w:rPr>
          <w:rFonts w:ascii="仿宋_GB2312" w:hAnsi="仿宋"/>
          <w:snapToGrid w:val="0"/>
          <w:color w:val="000000"/>
          <w:szCs w:val="32"/>
        </w:rPr>
        <w:t>.</w:t>
      </w:r>
      <w:r>
        <w:rPr>
          <w:rFonts w:hint="eastAsia" w:ascii="仿宋_GB2312" w:hAnsi="仿宋"/>
          <w:snapToGrid w:val="0"/>
          <w:color w:val="000000"/>
          <w:szCs w:val="32"/>
          <w:lang w:val="en-US" w:eastAsia="zh-CN"/>
        </w:rPr>
        <w:t>2</w:t>
      </w:r>
      <w:r>
        <w:rPr>
          <w:rFonts w:ascii="仿宋_GB2312" w:hAnsi="仿宋"/>
          <w:snapToGrid w:val="0"/>
          <w:color w:val="000000"/>
          <w:szCs w:val="32"/>
        </w:rPr>
        <w:t>0</w:t>
      </w:r>
      <w:r>
        <w:rPr>
          <w:rFonts w:hint="eastAsia" w:ascii="仿宋_GB2312" w:hAnsi="仿宋"/>
          <w:snapToGrid w:val="0"/>
          <w:color w:val="000000"/>
          <w:szCs w:val="32"/>
        </w:rPr>
        <w:t>万元</w:t>
      </w:r>
      <w:r>
        <w:rPr>
          <w:rFonts w:hint="eastAsia" w:ascii="仿宋_GB2312" w:hAnsi="仿宋"/>
          <w:snapToGrid w:val="0"/>
          <w:color w:val="000000"/>
          <w:szCs w:val="32"/>
          <w:lang w:eastAsia="zh-CN"/>
        </w:rPr>
        <w:t>，</w:t>
      </w:r>
      <w:r>
        <w:rPr>
          <w:rFonts w:hint="eastAsia" w:ascii="仿宋_GB2312" w:hAnsi="仿宋"/>
          <w:snapToGrid w:val="0"/>
          <w:color w:val="000000"/>
          <w:szCs w:val="32"/>
          <w:lang w:val="en-US" w:eastAsia="zh-CN"/>
        </w:rPr>
        <w:t>下降5.13</w:t>
      </w:r>
      <w:r>
        <w:rPr>
          <w:rFonts w:hint="eastAsia" w:ascii="仿宋_GB2312" w:hAnsi="仿宋"/>
          <w:snapToGrid w:val="0"/>
          <w:color w:val="000000"/>
          <w:szCs w:val="32"/>
        </w:rPr>
        <w:t>％</w:t>
      </w:r>
      <w:r>
        <w:rPr>
          <w:rFonts w:hint="eastAsia" w:ascii="仿宋_GB2312" w:hAnsi="仿宋"/>
          <w:snapToGrid w:val="0"/>
          <w:color w:val="000000"/>
          <w:szCs w:val="32"/>
          <w:lang w:eastAsia="zh-CN"/>
        </w:rPr>
        <w:t>。</w:t>
      </w:r>
      <w:r>
        <w:rPr>
          <w:rFonts w:hint="eastAsia" w:ascii="仿宋_GB2312" w:hAnsi="仿宋"/>
          <w:snapToGrid w:val="0"/>
          <w:color w:val="000000"/>
          <w:szCs w:val="32"/>
          <w:lang w:val="en-US" w:eastAsia="zh-CN"/>
        </w:rPr>
        <w:t>减少</w:t>
      </w:r>
      <w:r>
        <w:rPr>
          <w:rFonts w:hint="eastAsia" w:ascii="仿宋_GB2312" w:hAnsi="仿宋"/>
          <w:snapToGrid w:val="0"/>
          <w:color w:val="000000"/>
          <w:szCs w:val="32"/>
        </w:rPr>
        <w:t>原因是根据工作实际情况调整公用经费。</w:t>
      </w:r>
    </w:p>
    <w:p w14:paraId="5636040D">
      <w:pPr>
        <w:adjustRightInd w:val="0"/>
        <w:snapToGrid w:val="0"/>
        <w:spacing w:line="560" w:lineRule="exact"/>
        <w:ind w:firstLine="640" w:firstLineChars="200"/>
        <w:textAlignment w:val="baseline"/>
        <w:rPr>
          <w:rFonts w:ascii="仿宋_GB2312" w:hAnsi="仿宋"/>
          <w:snapToGrid w:val="0"/>
          <w:color w:val="000000"/>
          <w:szCs w:val="32"/>
        </w:rPr>
      </w:pPr>
      <w:r>
        <w:rPr>
          <w:rFonts w:hint="eastAsia" w:ascii="仿宋_GB2312" w:hAnsi="仿宋"/>
          <w:snapToGrid w:val="0"/>
          <w:color w:val="000000"/>
          <w:szCs w:val="32"/>
        </w:rPr>
        <w:t>维修（护）费0.50万元，与上年持平。</w:t>
      </w:r>
    </w:p>
    <w:p w14:paraId="61695B8D">
      <w:pPr>
        <w:pStyle w:val="3"/>
        <w:adjustRightInd w:val="0"/>
        <w:snapToGrid w:val="0"/>
        <w:spacing w:line="570" w:lineRule="exact"/>
        <w:ind w:firstLine="640" w:firstLineChars="200"/>
        <w:rPr>
          <w:rFonts w:hint="eastAsia" w:ascii="仿宋_GB2312" w:hAnsi="仿宋" w:eastAsia="仿宋_GB2312" w:cs="Times New Roman"/>
          <w:snapToGrid w:val="0"/>
          <w:color w:val="000000"/>
          <w:kern w:val="2"/>
          <w:sz w:val="32"/>
          <w:szCs w:val="32"/>
          <w:lang w:val="en-US" w:eastAsia="zh-CN" w:bidi="ar-SA"/>
        </w:rPr>
      </w:pPr>
      <w:r>
        <w:rPr>
          <w:rFonts w:hint="eastAsia" w:ascii="仿宋_GB2312" w:hAnsi="仿宋" w:eastAsia="仿宋_GB2312" w:cs="Times New Roman"/>
          <w:snapToGrid w:val="0"/>
          <w:color w:val="000000"/>
          <w:kern w:val="2"/>
          <w:sz w:val="32"/>
          <w:szCs w:val="32"/>
          <w:lang w:val="en-US" w:eastAsia="zh-CN" w:bidi="ar-SA"/>
        </w:rPr>
        <w:t>会议费1.08万元，较上年减少0.05万元，下降4.42％。减少原因是按照自治区财政厅要求核减“三公”两费，基本支出安排的会议费相应减少。</w:t>
      </w:r>
    </w:p>
    <w:p w14:paraId="106ED8A0">
      <w:pPr>
        <w:adjustRightInd w:val="0"/>
        <w:snapToGrid w:val="0"/>
        <w:spacing w:line="560" w:lineRule="exact"/>
        <w:ind w:firstLine="640" w:firstLineChars="200"/>
        <w:textAlignment w:val="baseline"/>
        <w:rPr>
          <w:rFonts w:ascii="仿宋_GB2312" w:hAnsi="仿宋"/>
          <w:snapToGrid w:val="0"/>
          <w:color w:val="000000"/>
          <w:szCs w:val="32"/>
        </w:rPr>
      </w:pPr>
      <w:r>
        <w:rPr>
          <w:rFonts w:hint="eastAsia" w:ascii="仿宋_GB2312" w:hAnsi="仿宋"/>
          <w:snapToGrid w:val="0"/>
          <w:color w:val="000000"/>
          <w:szCs w:val="32"/>
        </w:rPr>
        <w:t>培训费0.43万元，与上年持平。</w:t>
      </w:r>
    </w:p>
    <w:p w14:paraId="513CF910">
      <w:pPr>
        <w:adjustRightInd w:val="0"/>
        <w:snapToGrid w:val="0"/>
        <w:spacing w:line="560" w:lineRule="exact"/>
        <w:ind w:firstLine="640" w:firstLineChars="200"/>
        <w:textAlignment w:val="baseline"/>
        <w:rPr>
          <w:rFonts w:ascii="仿宋_GB2312" w:hAnsi="仿宋"/>
          <w:snapToGrid w:val="0"/>
          <w:color w:val="000000"/>
          <w:szCs w:val="32"/>
        </w:rPr>
      </w:pPr>
      <w:r>
        <w:rPr>
          <w:rFonts w:hint="eastAsia" w:ascii="仿宋_GB2312" w:hAnsi="仿宋"/>
          <w:snapToGrid w:val="0"/>
          <w:color w:val="000000"/>
          <w:szCs w:val="32"/>
        </w:rPr>
        <w:t>公务接待费0.17万元，与上年持平。</w:t>
      </w:r>
    </w:p>
    <w:p w14:paraId="25B4BC0D">
      <w:pPr>
        <w:adjustRightInd w:val="0"/>
        <w:snapToGrid w:val="0"/>
        <w:spacing w:line="560" w:lineRule="exact"/>
        <w:ind w:firstLine="640" w:firstLineChars="200"/>
        <w:textAlignment w:val="baseline"/>
        <w:rPr>
          <w:rFonts w:ascii="仿宋_GB2312" w:hAnsi="仿宋"/>
          <w:snapToGrid w:val="0"/>
          <w:color w:val="000000"/>
          <w:szCs w:val="32"/>
        </w:rPr>
      </w:pPr>
      <w:r>
        <w:rPr>
          <w:rFonts w:hint="eastAsia" w:ascii="仿宋_GB2312" w:hAnsi="仿宋"/>
          <w:snapToGrid w:val="0"/>
          <w:color w:val="000000"/>
          <w:szCs w:val="32"/>
        </w:rPr>
        <w:t>劳务费</w:t>
      </w:r>
      <w:r>
        <w:rPr>
          <w:rFonts w:hint="eastAsia" w:ascii="仿宋_GB2312" w:hAnsi="仿宋"/>
          <w:snapToGrid w:val="0"/>
          <w:color w:val="000000"/>
          <w:szCs w:val="32"/>
          <w:lang w:val="en-US" w:eastAsia="zh-CN"/>
        </w:rPr>
        <w:t>1.00</w:t>
      </w:r>
      <w:r>
        <w:rPr>
          <w:rFonts w:hint="eastAsia" w:ascii="仿宋_GB2312" w:hAnsi="仿宋"/>
          <w:snapToGrid w:val="0"/>
          <w:color w:val="000000"/>
          <w:szCs w:val="32"/>
        </w:rPr>
        <w:t>万元，较上年</w:t>
      </w:r>
      <w:r>
        <w:rPr>
          <w:rFonts w:hint="eastAsia" w:ascii="仿宋_GB2312" w:hAnsi="仿宋"/>
          <w:snapToGrid w:val="0"/>
          <w:color w:val="000000"/>
          <w:szCs w:val="32"/>
          <w:lang w:val="en-US" w:eastAsia="zh-CN"/>
        </w:rPr>
        <w:t>减少</w:t>
      </w:r>
      <w:r>
        <w:rPr>
          <w:rFonts w:hint="eastAsia" w:ascii="仿宋_GB2312" w:hAnsi="仿宋"/>
          <w:snapToGrid w:val="0"/>
          <w:color w:val="000000"/>
          <w:szCs w:val="32"/>
        </w:rPr>
        <w:t>0</w:t>
      </w:r>
      <w:r>
        <w:rPr>
          <w:rFonts w:ascii="仿宋_GB2312" w:hAnsi="仿宋"/>
          <w:snapToGrid w:val="0"/>
          <w:color w:val="000000"/>
          <w:szCs w:val="32"/>
        </w:rPr>
        <w:t>.</w:t>
      </w:r>
      <w:r>
        <w:rPr>
          <w:rFonts w:hint="eastAsia" w:ascii="仿宋_GB2312" w:hAnsi="仿宋"/>
          <w:snapToGrid w:val="0"/>
          <w:color w:val="000000"/>
          <w:szCs w:val="32"/>
          <w:lang w:val="en-US" w:eastAsia="zh-CN"/>
        </w:rPr>
        <w:t>10</w:t>
      </w:r>
      <w:r>
        <w:rPr>
          <w:rFonts w:hint="eastAsia" w:ascii="仿宋_GB2312" w:hAnsi="仿宋"/>
          <w:snapToGrid w:val="0"/>
          <w:color w:val="000000"/>
          <w:szCs w:val="32"/>
        </w:rPr>
        <w:t>万元</w:t>
      </w:r>
      <w:r>
        <w:rPr>
          <w:rFonts w:hint="eastAsia" w:ascii="仿宋_GB2312" w:hAnsi="仿宋"/>
          <w:snapToGrid w:val="0"/>
          <w:color w:val="000000"/>
          <w:szCs w:val="32"/>
          <w:lang w:eastAsia="zh-CN"/>
        </w:rPr>
        <w:t>，</w:t>
      </w:r>
      <w:r>
        <w:rPr>
          <w:rFonts w:hint="eastAsia" w:ascii="仿宋_GB2312" w:hAnsi="仿宋"/>
          <w:snapToGrid w:val="0"/>
          <w:color w:val="000000"/>
          <w:szCs w:val="32"/>
          <w:lang w:val="en-US" w:eastAsia="zh-CN"/>
        </w:rPr>
        <w:t>下降9.09</w:t>
      </w:r>
      <w:r>
        <w:rPr>
          <w:rFonts w:hint="eastAsia" w:ascii="仿宋_GB2312" w:hAnsi="仿宋"/>
          <w:snapToGrid w:val="0"/>
          <w:color w:val="000000"/>
          <w:szCs w:val="32"/>
        </w:rPr>
        <w:t>％</w:t>
      </w:r>
      <w:r>
        <w:rPr>
          <w:rFonts w:hint="eastAsia" w:ascii="仿宋_GB2312" w:hAnsi="仿宋"/>
          <w:snapToGrid w:val="0"/>
          <w:color w:val="000000"/>
          <w:szCs w:val="32"/>
          <w:lang w:eastAsia="zh-CN"/>
        </w:rPr>
        <w:t>。</w:t>
      </w:r>
      <w:r>
        <w:rPr>
          <w:rFonts w:hint="eastAsia" w:ascii="仿宋_GB2312" w:hAnsi="仿宋"/>
          <w:snapToGrid w:val="0"/>
          <w:color w:val="000000"/>
          <w:szCs w:val="32"/>
          <w:lang w:val="en-US" w:eastAsia="zh-CN"/>
        </w:rPr>
        <w:t>减少</w:t>
      </w:r>
      <w:r>
        <w:rPr>
          <w:rFonts w:hint="eastAsia" w:ascii="仿宋_GB2312" w:hAnsi="仿宋"/>
          <w:snapToGrid w:val="0"/>
          <w:color w:val="000000"/>
          <w:szCs w:val="32"/>
        </w:rPr>
        <w:t>原因是根据工作实际情况调整公用经费。</w:t>
      </w:r>
    </w:p>
    <w:p w14:paraId="667D861E">
      <w:pPr>
        <w:adjustRightInd w:val="0"/>
        <w:snapToGrid w:val="0"/>
        <w:spacing w:line="560" w:lineRule="exact"/>
        <w:ind w:firstLine="640" w:firstLineChars="200"/>
        <w:textAlignment w:val="baseline"/>
        <w:rPr>
          <w:rFonts w:ascii="仿宋_GB2312" w:hAnsi="仿宋"/>
          <w:snapToGrid w:val="0"/>
          <w:color w:val="000000"/>
          <w:szCs w:val="32"/>
        </w:rPr>
      </w:pPr>
      <w:r>
        <w:rPr>
          <w:rFonts w:hint="eastAsia" w:ascii="仿宋_GB2312" w:hAnsi="仿宋"/>
          <w:snapToGrid w:val="0"/>
          <w:color w:val="000000"/>
          <w:szCs w:val="32"/>
        </w:rPr>
        <w:t>工会经费</w:t>
      </w:r>
      <w:r>
        <w:rPr>
          <w:rFonts w:hint="eastAsia" w:ascii="仿宋_GB2312" w:hAnsi="仿宋"/>
          <w:snapToGrid w:val="0"/>
          <w:color w:val="000000"/>
          <w:szCs w:val="32"/>
          <w:lang w:val="en-US" w:eastAsia="zh-CN"/>
        </w:rPr>
        <w:t>4.17</w:t>
      </w:r>
      <w:r>
        <w:rPr>
          <w:rFonts w:hint="eastAsia" w:ascii="仿宋_GB2312" w:hAnsi="仿宋"/>
          <w:snapToGrid w:val="0"/>
          <w:color w:val="000000"/>
          <w:szCs w:val="32"/>
        </w:rPr>
        <w:t>万元，较上年增加</w:t>
      </w:r>
      <w:r>
        <w:rPr>
          <w:rFonts w:hint="eastAsia" w:ascii="仿宋_GB2312" w:hAnsi="仿宋"/>
          <w:snapToGrid w:val="0"/>
          <w:color w:val="000000"/>
          <w:szCs w:val="32"/>
          <w:lang w:val="en-US" w:eastAsia="zh-CN"/>
        </w:rPr>
        <w:t>0.48</w:t>
      </w:r>
      <w:r>
        <w:rPr>
          <w:rFonts w:hint="eastAsia" w:ascii="仿宋_GB2312" w:hAnsi="仿宋"/>
          <w:snapToGrid w:val="0"/>
          <w:color w:val="000000"/>
          <w:szCs w:val="32"/>
        </w:rPr>
        <w:t>万元，增长</w:t>
      </w:r>
      <w:r>
        <w:rPr>
          <w:rFonts w:hint="eastAsia" w:ascii="仿宋_GB2312" w:hAnsi="仿宋"/>
          <w:snapToGrid w:val="0"/>
          <w:color w:val="000000"/>
          <w:szCs w:val="32"/>
          <w:lang w:val="en-US" w:eastAsia="zh-CN"/>
        </w:rPr>
        <w:t>13.01</w:t>
      </w:r>
      <w:r>
        <w:rPr>
          <w:rFonts w:hint="eastAsia" w:ascii="仿宋_GB2312" w:hAnsi="仿宋"/>
          <w:snapToGrid w:val="0"/>
          <w:color w:val="000000"/>
          <w:szCs w:val="32"/>
        </w:rPr>
        <w:t>％，主要原因是工资总额较上年增长，由此计提的工会经费相应增长。</w:t>
      </w:r>
    </w:p>
    <w:p w14:paraId="18506B67">
      <w:pPr>
        <w:adjustRightInd w:val="0"/>
        <w:snapToGrid w:val="0"/>
        <w:spacing w:line="560" w:lineRule="exact"/>
        <w:ind w:firstLine="640" w:firstLineChars="200"/>
        <w:textAlignment w:val="baseline"/>
        <w:rPr>
          <w:rFonts w:ascii="仿宋_GB2312" w:hAnsi="仿宋"/>
          <w:snapToGrid w:val="0"/>
          <w:color w:val="000000"/>
          <w:szCs w:val="32"/>
        </w:rPr>
      </w:pPr>
      <w:r>
        <w:rPr>
          <w:rFonts w:hint="eastAsia" w:ascii="仿宋_GB2312" w:hAnsi="仿宋"/>
          <w:snapToGrid w:val="0"/>
          <w:color w:val="000000"/>
          <w:szCs w:val="32"/>
        </w:rPr>
        <w:t>其他交通费用</w:t>
      </w:r>
      <w:r>
        <w:rPr>
          <w:rFonts w:hint="eastAsia" w:ascii="仿宋_GB2312" w:hAnsi="仿宋"/>
          <w:snapToGrid w:val="0"/>
          <w:color w:val="000000"/>
          <w:szCs w:val="32"/>
          <w:lang w:val="en-US" w:eastAsia="zh-CN"/>
        </w:rPr>
        <w:t>13.90</w:t>
      </w:r>
      <w:r>
        <w:rPr>
          <w:rFonts w:hint="eastAsia" w:ascii="仿宋_GB2312" w:hAnsi="仿宋"/>
          <w:snapToGrid w:val="0"/>
          <w:color w:val="000000"/>
          <w:szCs w:val="32"/>
        </w:rPr>
        <w:t>万元，较上年增加</w:t>
      </w:r>
      <w:r>
        <w:rPr>
          <w:rFonts w:hint="eastAsia" w:ascii="仿宋_GB2312" w:hAnsi="仿宋"/>
          <w:snapToGrid w:val="0"/>
          <w:color w:val="000000"/>
          <w:szCs w:val="32"/>
          <w:lang w:val="en-US" w:eastAsia="zh-CN"/>
        </w:rPr>
        <w:t>1.21</w:t>
      </w:r>
      <w:r>
        <w:rPr>
          <w:rFonts w:hint="eastAsia" w:ascii="仿宋_GB2312" w:hAnsi="仿宋"/>
          <w:snapToGrid w:val="0"/>
          <w:color w:val="000000"/>
          <w:szCs w:val="32"/>
        </w:rPr>
        <w:t>万元，增长</w:t>
      </w:r>
      <w:r>
        <w:rPr>
          <w:rFonts w:hint="eastAsia" w:ascii="仿宋_GB2312" w:hAnsi="仿宋"/>
          <w:snapToGrid w:val="0"/>
          <w:color w:val="000000"/>
          <w:szCs w:val="32"/>
          <w:lang w:val="en-US" w:eastAsia="zh-CN"/>
        </w:rPr>
        <w:t>9.54</w:t>
      </w:r>
      <w:r>
        <w:rPr>
          <w:rFonts w:hint="eastAsia" w:ascii="仿宋_GB2312" w:hAnsi="仿宋"/>
          <w:snapToGrid w:val="0"/>
          <w:color w:val="000000"/>
          <w:szCs w:val="32"/>
        </w:rPr>
        <w:t>％，主要原因是人员变动等原因，公务交通费用较上年增长。</w:t>
      </w:r>
    </w:p>
    <w:p w14:paraId="5C4A45D6">
      <w:pPr>
        <w:adjustRightInd w:val="0"/>
        <w:snapToGrid w:val="0"/>
        <w:spacing w:line="560" w:lineRule="exact"/>
        <w:ind w:firstLine="640" w:firstLineChars="200"/>
        <w:textAlignment w:val="baseline"/>
        <w:rPr>
          <w:rFonts w:ascii="仿宋_GB2312" w:hAnsi="仿宋"/>
          <w:snapToGrid w:val="0"/>
          <w:color w:val="000000"/>
          <w:szCs w:val="32"/>
        </w:rPr>
      </w:pPr>
      <w:r>
        <w:rPr>
          <w:rFonts w:hint="eastAsia" w:ascii="仿宋_GB2312" w:hAnsi="仿宋"/>
          <w:snapToGrid w:val="0"/>
          <w:color w:val="000000"/>
          <w:szCs w:val="32"/>
        </w:rPr>
        <w:t>其他商品和服务支出</w:t>
      </w:r>
      <w:r>
        <w:rPr>
          <w:rFonts w:hint="eastAsia" w:ascii="仿宋_GB2312" w:hAnsi="仿宋"/>
          <w:snapToGrid w:val="0"/>
          <w:color w:val="000000"/>
          <w:szCs w:val="32"/>
          <w:lang w:val="en-US" w:eastAsia="zh-CN"/>
        </w:rPr>
        <w:t>15.95</w:t>
      </w:r>
      <w:r>
        <w:rPr>
          <w:rFonts w:hint="eastAsia" w:ascii="仿宋_GB2312" w:hAnsi="仿宋"/>
          <w:snapToGrid w:val="0"/>
          <w:color w:val="000000"/>
          <w:szCs w:val="32"/>
        </w:rPr>
        <w:t>万元，较上年增加</w:t>
      </w:r>
      <w:r>
        <w:rPr>
          <w:rFonts w:hint="eastAsia" w:ascii="仿宋_GB2312" w:hAnsi="仿宋"/>
          <w:snapToGrid w:val="0"/>
          <w:color w:val="000000"/>
          <w:szCs w:val="32"/>
          <w:lang w:val="en-US" w:eastAsia="zh-CN"/>
        </w:rPr>
        <w:t>8.46</w:t>
      </w:r>
      <w:r>
        <w:rPr>
          <w:rFonts w:hint="eastAsia" w:ascii="仿宋_GB2312" w:hAnsi="仿宋"/>
          <w:snapToGrid w:val="0"/>
          <w:color w:val="000000"/>
          <w:szCs w:val="32"/>
        </w:rPr>
        <w:t>万元，增长</w:t>
      </w:r>
      <w:r>
        <w:rPr>
          <w:rFonts w:hint="eastAsia" w:ascii="仿宋_GB2312" w:hAnsi="仿宋"/>
          <w:snapToGrid w:val="0"/>
          <w:color w:val="000000"/>
          <w:szCs w:val="32"/>
          <w:lang w:val="en-US" w:eastAsia="zh-CN"/>
        </w:rPr>
        <w:t>11</w:t>
      </w:r>
      <w:r>
        <w:rPr>
          <w:rFonts w:ascii="仿宋_GB2312" w:hAnsi="仿宋"/>
          <w:snapToGrid w:val="0"/>
          <w:color w:val="000000"/>
          <w:szCs w:val="32"/>
        </w:rPr>
        <w:t>2.</w:t>
      </w:r>
      <w:r>
        <w:rPr>
          <w:rFonts w:hint="eastAsia" w:ascii="仿宋_GB2312" w:hAnsi="仿宋"/>
          <w:snapToGrid w:val="0"/>
          <w:color w:val="000000"/>
          <w:szCs w:val="32"/>
          <w:lang w:val="en-US" w:eastAsia="zh-CN"/>
        </w:rPr>
        <w:t>9</w:t>
      </w:r>
      <w:r>
        <w:rPr>
          <w:rFonts w:ascii="仿宋_GB2312" w:hAnsi="仿宋"/>
          <w:snapToGrid w:val="0"/>
          <w:color w:val="000000"/>
          <w:szCs w:val="32"/>
        </w:rPr>
        <w:t>5</w:t>
      </w:r>
      <w:r>
        <w:rPr>
          <w:rFonts w:hint="eastAsia" w:ascii="仿宋_GB2312" w:hAnsi="仿宋"/>
          <w:snapToGrid w:val="0"/>
          <w:color w:val="000000"/>
          <w:szCs w:val="32"/>
        </w:rPr>
        <w:t>％，主要原因是根据</w:t>
      </w:r>
      <w:r>
        <w:rPr>
          <w:rFonts w:hint="eastAsia" w:ascii="仿宋_GB2312" w:hAnsi="仿宋"/>
          <w:snapToGrid w:val="0"/>
          <w:color w:val="000000"/>
          <w:szCs w:val="32"/>
          <w:lang w:val="en-US" w:eastAsia="zh-CN"/>
        </w:rPr>
        <w:t>2026年</w:t>
      </w:r>
      <w:r>
        <w:rPr>
          <w:rFonts w:hint="eastAsia" w:ascii="仿宋_GB2312" w:hAnsi="仿宋"/>
          <w:snapToGrid w:val="0"/>
          <w:color w:val="000000"/>
          <w:szCs w:val="32"/>
        </w:rPr>
        <w:t>预算</w:t>
      </w:r>
      <w:r>
        <w:rPr>
          <w:rFonts w:hint="eastAsia" w:ascii="仿宋_GB2312" w:hAnsi="仿宋"/>
          <w:snapToGrid w:val="0"/>
          <w:color w:val="000000"/>
          <w:szCs w:val="32"/>
          <w:lang w:val="en-US" w:eastAsia="zh-CN"/>
        </w:rPr>
        <w:t>编制要求，党团工青妇经费、残疾人保障金经费项目从项目支出调整到基本支出</w:t>
      </w:r>
      <w:r>
        <w:rPr>
          <w:rFonts w:hint="eastAsia" w:ascii="仿宋_GB2312" w:hAnsi="仿宋"/>
          <w:snapToGrid w:val="0"/>
          <w:color w:val="000000"/>
          <w:szCs w:val="32"/>
        </w:rPr>
        <w:t>，其他商品和服务支出</w:t>
      </w:r>
      <w:r>
        <w:rPr>
          <w:rFonts w:hint="eastAsia" w:ascii="仿宋_GB2312" w:hAnsi="仿宋"/>
          <w:snapToGrid w:val="0"/>
          <w:color w:val="000000"/>
          <w:szCs w:val="32"/>
          <w:lang w:val="en-US" w:eastAsia="zh-CN"/>
        </w:rPr>
        <w:t>相应</w:t>
      </w:r>
      <w:r>
        <w:rPr>
          <w:rFonts w:hint="eastAsia" w:ascii="仿宋_GB2312" w:hAnsi="仿宋"/>
          <w:snapToGrid w:val="0"/>
          <w:color w:val="000000"/>
          <w:szCs w:val="32"/>
        </w:rPr>
        <w:t>增长。</w:t>
      </w:r>
    </w:p>
    <w:p w14:paraId="64928EFD">
      <w:pPr>
        <w:tabs>
          <w:tab w:val="center" w:pos="4475"/>
        </w:tabs>
        <w:spacing w:line="560" w:lineRule="exact"/>
        <w:ind w:firstLine="645"/>
        <w:rPr>
          <w:rFonts w:hint="eastAsia" w:ascii="楷体_GB2312" w:hAnsi="楷体_GB2312" w:eastAsia="楷体_GB2312" w:cs="楷体_GB2312"/>
          <w:kern w:val="0"/>
        </w:rPr>
      </w:pPr>
      <w:r>
        <w:rPr>
          <w:rFonts w:hint="eastAsia" w:ascii="黑体" w:hAnsi="黑体" w:eastAsia="黑体" w:cs="黑体"/>
          <w:szCs w:val="32"/>
        </w:rPr>
        <w:t>八、</w:t>
      </w:r>
      <w:r>
        <w:rPr>
          <w:rFonts w:hint="eastAsia" w:ascii="黑体" w:hAnsi="黑体" w:eastAsia="黑体" w:cs="黑体"/>
          <w:kern w:val="0"/>
        </w:rPr>
        <w:t>政府采购预算安排情况说明</w:t>
      </w:r>
    </w:p>
    <w:p w14:paraId="074F45F8">
      <w:pPr>
        <w:tabs>
          <w:tab w:val="center" w:pos="4475"/>
        </w:tabs>
        <w:spacing w:line="560" w:lineRule="exact"/>
        <w:ind w:firstLine="645"/>
        <w:rPr>
          <w:rFonts w:hint="eastAsia" w:ascii="楷体_GB2312" w:hAnsi="楷体_GB2312" w:eastAsia="楷体_GB2312" w:cs="楷体_GB2312"/>
          <w:kern w:val="0"/>
        </w:rPr>
      </w:pPr>
      <w:r>
        <w:rPr>
          <w:rFonts w:hint="eastAsia" w:ascii="仿宋_GB2312" w:hAnsi="宋体"/>
          <w:szCs w:val="32"/>
        </w:rPr>
        <w:t>我单位</w:t>
      </w:r>
      <w:r>
        <w:rPr>
          <w:rFonts w:hint="eastAsia" w:ascii="仿宋_GB2312" w:hAnsi="宋体"/>
          <w:szCs w:val="32"/>
          <w:lang w:eastAsia="zh-CN"/>
        </w:rPr>
        <w:t>2026</w:t>
      </w:r>
      <w:r>
        <w:rPr>
          <w:rFonts w:hint="eastAsia" w:ascii="仿宋_GB2312" w:hAnsi="宋体"/>
          <w:szCs w:val="32"/>
        </w:rPr>
        <w:t>年政府采购预算总金额</w:t>
      </w:r>
      <w:r>
        <w:rPr>
          <w:rFonts w:hint="eastAsia" w:ascii="宋体" w:hAnsi="宋体" w:cs="Arial"/>
          <w:color w:val="000000"/>
          <w:kern w:val="0"/>
          <w:szCs w:val="32"/>
          <w:lang w:val="en-US" w:eastAsia="zh-CN"/>
        </w:rPr>
        <w:t>184.90</w:t>
      </w:r>
      <w:r>
        <w:rPr>
          <w:rFonts w:hint="eastAsia" w:ascii="仿宋_GB2312" w:hAnsi="宋体"/>
          <w:szCs w:val="32"/>
        </w:rPr>
        <w:t>万元，较</w:t>
      </w:r>
      <w:r>
        <w:rPr>
          <w:rFonts w:hint="eastAsia" w:ascii="宋体" w:hAnsi="宋体"/>
          <w:szCs w:val="32"/>
          <w:lang w:val="en"/>
        </w:rPr>
        <w:t>上年减少</w:t>
      </w:r>
      <w:r>
        <w:rPr>
          <w:rFonts w:ascii="宋体" w:hAnsi="宋体"/>
          <w:szCs w:val="32"/>
          <w:lang w:val="en"/>
        </w:rPr>
        <w:t>0.</w:t>
      </w:r>
      <w:r>
        <w:rPr>
          <w:rFonts w:hint="eastAsia" w:ascii="宋体" w:hAnsi="宋体"/>
          <w:szCs w:val="32"/>
          <w:lang w:val="en-US" w:eastAsia="zh-CN"/>
        </w:rPr>
        <w:t>26</w:t>
      </w:r>
      <w:r>
        <w:rPr>
          <w:rFonts w:hint="eastAsia" w:ascii="宋体" w:hAnsi="宋体"/>
          <w:szCs w:val="32"/>
          <w:lang w:val="en"/>
        </w:rPr>
        <w:t>万元，下降</w:t>
      </w:r>
      <w:r>
        <w:rPr>
          <w:rFonts w:ascii="宋体" w:hAnsi="宋体"/>
          <w:szCs w:val="32"/>
          <w:lang w:val="en"/>
        </w:rPr>
        <w:t>0.</w:t>
      </w:r>
      <w:r>
        <w:rPr>
          <w:rFonts w:hint="eastAsia" w:ascii="宋体" w:hAnsi="宋体"/>
          <w:szCs w:val="32"/>
          <w:lang w:val="en-US" w:eastAsia="zh-CN"/>
        </w:rPr>
        <w:t>14</w:t>
      </w:r>
      <w:r>
        <w:rPr>
          <w:rFonts w:hint="eastAsia" w:ascii="宋体" w:hAnsi="宋体"/>
          <w:szCs w:val="32"/>
          <w:lang w:val="en"/>
        </w:rPr>
        <w:t>％。减少原因主要为同比上年压减预算支出，政府采购预算支出相应减少。</w:t>
      </w:r>
      <w:r>
        <w:rPr>
          <w:rFonts w:hint="eastAsia" w:ascii="仿宋_GB2312" w:hAnsi="宋体"/>
          <w:szCs w:val="32"/>
        </w:rPr>
        <w:t>其中：货物类采购</w:t>
      </w:r>
      <w:r>
        <w:rPr>
          <w:rFonts w:hint="eastAsia" w:ascii="仿宋_GB2312" w:hAnsi="宋体"/>
          <w:szCs w:val="32"/>
          <w:lang w:val="en-US" w:eastAsia="zh-CN"/>
        </w:rPr>
        <w:t>9</w:t>
      </w:r>
      <w:r>
        <w:rPr>
          <w:rFonts w:hint="eastAsia" w:ascii="仿宋_GB2312" w:hAnsi="宋体"/>
          <w:szCs w:val="32"/>
        </w:rPr>
        <w:t>万元、工程类采购</w:t>
      </w:r>
      <w:r>
        <w:rPr>
          <w:rFonts w:ascii="仿宋_GB2312" w:hAnsi="宋体"/>
          <w:szCs w:val="32"/>
        </w:rPr>
        <w:t>0</w:t>
      </w:r>
      <w:r>
        <w:rPr>
          <w:rFonts w:hint="eastAsia" w:ascii="仿宋_GB2312" w:hAnsi="宋体"/>
          <w:szCs w:val="32"/>
        </w:rPr>
        <w:t>万元、服务类采购</w:t>
      </w:r>
      <w:r>
        <w:rPr>
          <w:rFonts w:ascii="仿宋_GB2312" w:hAnsi="宋体"/>
          <w:szCs w:val="32"/>
        </w:rPr>
        <w:t>17</w:t>
      </w:r>
      <w:r>
        <w:rPr>
          <w:rFonts w:hint="eastAsia" w:ascii="仿宋_GB2312" w:hAnsi="宋体"/>
          <w:szCs w:val="32"/>
          <w:lang w:val="en-US" w:eastAsia="zh-CN"/>
        </w:rPr>
        <w:t>5.90</w:t>
      </w:r>
      <w:r>
        <w:rPr>
          <w:rFonts w:hint="eastAsia" w:ascii="仿宋_GB2312" w:hAnsi="宋体"/>
          <w:szCs w:val="32"/>
        </w:rPr>
        <w:t>万元。</w:t>
      </w:r>
    </w:p>
    <w:p w14:paraId="4E7ABEC7">
      <w:pPr>
        <w:tabs>
          <w:tab w:val="center" w:pos="4475"/>
        </w:tabs>
        <w:spacing w:line="560" w:lineRule="exact"/>
        <w:ind w:firstLine="645"/>
        <w:rPr>
          <w:rFonts w:hint="eastAsia" w:ascii="楷体_GB2312" w:hAnsi="楷体_GB2312" w:eastAsia="楷体_GB2312" w:cs="楷体_GB2312"/>
          <w:kern w:val="0"/>
          <w:highlight w:val="none"/>
        </w:rPr>
      </w:pPr>
      <w:r>
        <w:rPr>
          <w:rFonts w:hint="eastAsia" w:ascii="黑体" w:hAnsi="黑体" w:eastAsia="黑体" w:cs="黑体"/>
          <w:kern w:val="0"/>
          <w:highlight w:val="none"/>
        </w:rPr>
        <w:t>九、国有资产占用情况说明</w:t>
      </w:r>
    </w:p>
    <w:p w14:paraId="40447CC6">
      <w:pPr>
        <w:adjustRightInd w:val="0"/>
        <w:snapToGrid w:val="0"/>
        <w:spacing w:line="560" w:lineRule="exact"/>
        <w:ind w:firstLine="640" w:firstLineChars="200"/>
        <w:rPr>
          <w:rFonts w:hint="eastAsia" w:ascii="宋体" w:hAnsi="宋体" w:cs="宋体"/>
          <w:snapToGrid w:val="0"/>
          <w:color w:val="000000"/>
          <w:szCs w:val="32"/>
          <w:highlight w:val="none"/>
        </w:rPr>
      </w:pPr>
      <w:r>
        <w:rPr>
          <w:rFonts w:hint="eastAsia" w:ascii="仿宋_GB2312" w:hAnsi="仿宋"/>
          <w:snapToGrid w:val="0"/>
          <w:color w:val="000000"/>
          <w:szCs w:val="32"/>
          <w:highlight w:val="none"/>
        </w:rPr>
        <w:t>我单位资产总额（202</w:t>
      </w:r>
      <w:r>
        <w:rPr>
          <w:rFonts w:hint="eastAsia" w:ascii="仿宋_GB2312" w:hAnsi="仿宋"/>
          <w:snapToGrid w:val="0"/>
          <w:color w:val="000000"/>
          <w:szCs w:val="32"/>
          <w:highlight w:val="none"/>
          <w:lang w:val="en-US" w:eastAsia="zh-CN"/>
        </w:rPr>
        <w:t>5</w:t>
      </w:r>
      <w:r>
        <w:rPr>
          <w:rFonts w:hint="eastAsia" w:ascii="仿宋_GB2312" w:hAnsi="仿宋"/>
          <w:snapToGrid w:val="0"/>
          <w:color w:val="000000"/>
          <w:szCs w:val="32"/>
          <w:highlight w:val="none"/>
        </w:rPr>
        <w:t>年初数）</w:t>
      </w:r>
      <w:r>
        <w:rPr>
          <w:rFonts w:hint="eastAsia" w:ascii="仿宋_GB2312" w:hAnsi="仿宋"/>
          <w:snapToGrid w:val="0"/>
          <w:color w:val="000000"/>
          <w:szCs w:val="32"/>
          <w:highlight w:val="none"/>
          <w:lang w:val="en-US" w:eastAsia="zh-CN"/>
        </w:rPr>
        <w:t>425.74</w:t>
      </w:r>
      <w:r>
        <w:rPr>
          <w:rFonts w:hint="eastAsia" w:ascii="仿宋_GB2312" w:hAnsi="仿宋"/>
          <w:snapToGrid w:val="0"/>
          <w:color w:val="000000"/>
          <w:szCs w:val="32"/>
          <w:highlight w:val="none"/>
        </w:rPr>
        <w:t>万元</w:t>
      </w:r>
      <w:r>
        <w:rPr>
          <w:rFonts w:ascii="仿宋_GB2312" w:hAnsi="宋体"/>
          <w:szCs w:val="32"/>
          <w:highlight w:val="none"/>
        </w:rPr>
        <w:t>，其中：流动资产</w:t>
      </w:r>
      <w:r>
        <w:rPr>
          <w:rFonts w:hint="eastAsia" w:ascii="仿宋_GB2312" w:hAnsi="宋体"/>
          <w:szCs w:val="32"/>
          <w:highlight w:val="none"/>
          <w:lang w:val="en-US" w:eastAsia="zh-CN"/>
        </w:rPr>
        <w:t>297.51</w:t>
      </w:r>
      <w:r>
        <w:rPr>
          <w:rFonts w:ascii="仿宋_GB2312" w:hAnsi="宋体"/>
          <w:szCs w:val="32"/>
          <w:highlight w:val="none"/>
        </w:rPr>
        <w:t>万元，固定资产</w:t>
      </w:r>
      <w:r>
        <w:rPr>
          <w:rFonts w:hint="eastAsia" w:ascii="仿宋_GB2312" w:hAnsi="宋体"/>
          <w:szCs w:val="32"/>
          <w:highlight w:val="none"/>
          <w:lang w:val="en-US" w:eastAsia="zh-CN"/>
        </w:rPr>
        <w:t>106.76</w:t>
      </w:r>
      <w:r>
        <w:rPr>
          <w:rFonts w:ascii="仿宋_GB2312" w:hAnsi="宋体"/>
          <w:szCs w:val="32"/>
          <w:highlight w:val="none"/>
        </w:rPr>
        <w:t>万元（账面净值），无形资产</w:t>
      </w:r>
      <w:r>
        <w:rPr>
          <w:rFonts w:hint="eastAsia" w:ascii="仿宋_GB2312" w:hAnsi="宋体"/>
          <w:szCs w:val="32"/>
          <w:highlight w:val="none"/>
          <w:lang w:val="en-US" w:eastAsia="zh-CN"/>
        </w:rPr>
        <w:t>21.47</w:t>
      </w:r>
      <w:r>
        <w:rPr>
          <w:rFonts w:ascii="仿宋_GB2312" w:hAnsi="宋体"/>
          <w:szCs w:val="32"/>
          <w:highlight w:val="none"/>
        </w:rPr>
        <w:t>万元（账面净值）。</w:t>
      </w:r>
    </w:p>
    <w:p w14:paraId="73B47C4B">
      <w:pPr>
        <w:tabs>
          <w:tab w:val="center" w:pos="4475"/>
        </w:tabs>
        <w:spacing w:line="560" w:lineRule="exact"/>
        <w:ind w:firstLine="645"/>
        <w:rPr>
          <w:rFonts w:hint="eastAsia" w:ascii="宋体" w:hAnsi="宋体" w:cs="宋体"/>
          <w:snapToGrid w:val="0"/>
          <w:color w:val="000000"/>
          <w:szCs w:val="32"/>
          <w:highlight w:val="none"/>
        </w:rPr>
      </w:pPr>
      <w:r>
        <w:rPr>
          <w:rFonts w:ascii="仿宋_GB2312" w:hAnsi="宋体"/>
          <w:szCs w:val="32"/>
          <w:highlight w:val="none"/>
        </w:rPr>
        <w:t>固定资产情况：房屋33</w:t>
      </w:r>
      <w:r>
        <w:rPr>
          <w:rFonts w:hint="eastAsia" w:ascii="仿宋_GB2312" w:hAnsi="宋体"/>
          <w:szCs w:val="32"/>
          <w:highlight w:val="none"/>
        </w:rPr>
        <w:t>,</w:t>
      </w:r>
      <w:r>
        <w:rPr>
          <w:rFonts w:ascii="仿宋_GB2312" w:hAnsi="宋体"/>
          <w:szCs w:val="32"/>
          <w:highlight w:val="none"/>
        </w:rPr>
        <w:t>269.53平方米，主要为办公用房、业务用房和其他</w:t>
      </w:r>
      <w:r>
        <w:rPr>
          <w:rFonts w:hint="eastAsia" w:ascii="仿宋_GB2312" w:hAnsi="宋体"/>
          <w:szCs w:val="32"/>
          <w:highlight w:val="none"/>
          <w:lang w:val="en-US" w:eastAsia="zh-CN"/>
        </w:rPr>
        <w:t>房屋</w:t>
      </w:r>
      <w:r>
        <w:rPr>
          <w:rFonts w:ascii="仿宋_GB2312" w:hAnsi="宋体"/>
          <w:szCs w:val="32"/>
          <w:highlight w:val="none"/>
        </w:rPr>
        <w:t>。</w:t>
      </w:r>
      <w:r>
        <w:rPr>
          <w:rFonts w:hint="eastAsia" w:ascii="宋体" w:hAnsi="宋体" w:cs="宋体"/>
          <w:snapToGrid w:val="0"/>
          <w:color w:val="000000"/>
          <w:szCs w:val="32"/>
          <w:highlight w:val="none"/>
        </w:rPr>
        <w:t>办公用房为自治区广电局权属办公用房，与局本级使用同办公区合署办公。本单位无在编实有车辆。</w:t>
      </w:r>
    </w:p>
    <w:p w14:paraId="0A0DA560">
      <w:pPr>
        <w:tabs>
          <w:tab w:val="center" w:pos="4475"/>
        </w:tabs>
        <w:spacing w:line="560" w:lineRule="exact"/>
        <w:ind w:firstLine="645"/>
        <w:rPr>
          <w:rFonts w:hint="eastAsia" w:ascii="楷体_GB2312" w:hAnsi="楷体_GB2312" w:eastAsia="楷体_GB2312" w:cs="楷体_GB2312"/>
          <w:szCs w:val="32"/>
        </w:rPr>
      </w:pPr>
      <w:r>
        <w:rPr>
          <w:rFonts w:hint="eastAsia" w:ascii="黑体" w:hAnsi="黑体" w:eastAsia="黑体" w:cs="黑体"/>
          <w:szCs w:val="32"/>
        </w:rPr>
        <w:t>十、预算绩效目标情况说明</w:t>
      </w:r>
    </w:p>
    <w:p w14:paraId="0A36E333">
      <w:pPr>
        <w:tabs>
          <w:tab w:val="center" w:pos="4475"/>
        </w:tabs>
        <w:autoSpaceDN w:val="0"/>
        <w:spacing w:line="560" w:lineRule="exact"/>
        <w:ind w:firstLine="645"/>
        <w:rPr>
          <w:rFonts w:hint="eastAsia" w:ascii="仿宋_GB2312" w:hAnsi="宋体"/>
          <w:szCs w:val="32"/>
        </w:rPr>
      </w:pPr>
      <w:r>
        <w:rPr>
          <w:rFonts w:hint="eastAsia" w:ascii="仿宋_GB2312" w:cs="仿宋_GB2312"/>
          <w:szCs w:val="32"/>
          <w:lang w:bidi="ar"/>
        </w:rPr>
        <w:t>（一）我单位</w:t>
      </w:r>
      <w:r>
        <w:rPr>
          <w:rFonts w:hint="eastAsia" w:ascii="仿宋_GB2312" w:cs="仿宋_GB2312"/>
          <w:szCs w:val="32"/>
          <w:lang w:eastAsia="zh-CN" w:bidi="ar"/>
        </w:rPr>
        <w:t>2026</w:t>
      </w:r>
      <w:r>
        <w:rPr>
          <w:rFonts w:hint="eastAsia" w:ascii="仿宋_GB2312" w:cs="仿宋_GB2312"/>
          <w:szCs w:val="32"/>
          <w:lang w:bidi="ar"/>
        </w:rPr>
        <w:t>年所有项目支出全面实施绩效目标管理，涉及自治区本级项目</w:t>
      </w:r>
      <w:r>
        <w:rPr>
          <w:rFonts w:hint="eastAsia" w:ascii="仿宋_GB2312" w:cs="仿宋_GB2312"/>
          <w:szCs w:val="32"/>
          <w:lang w:val="en-US" w:eastAsia="zh-CN" w:bidi="ar"/>
        </w:rPr>
        <w:t>2</w:t>
      </w:r>
      <w:r>
        <w:rPr>
          <w:rFonts w:hint="eastAsia" w:ascii="仿宋_GB2312" w:cs="仿宋_GB2312"/>
          <w:szCs w:val="32"/>
          <w:lang w:bidi="ar"/>
        </w:rPr>
        <w:t>个，预算资金</w:t>
      </w:r>
      <w:r>
        <w:rPr>
          <w:rFonts w:hint="eastAsia" w:ascii="仿宋_GB2312" w:cs="仿宋_GB2312"/>
          <w:szCs w:val="32"/>
          <w:lang w:val="en-US" w:eastAsia="zh-CN" w:bidi="ar"/>
        </w:rPr>
        <w:t>110</w:t>
      </w:r>
      <w:r>
        <w:rPr>
          <w:rFonts w:hint="eastAsia" w:ascii="仿宋_GB2312" w:cs="仿宋_GB2312"/>
          <w:szCs w:val="32"/>
          <w:lang w:bidi="ar"/>
        </w:rPr>
        <w:t>万元；对下转移支付项目</w:t>
      </w:r>
      <w:r>
        <w:rPr>
          <w:rFonts w:ascii="仿宋_GB2312" w:cs="仿宋_GB2312"/>
          <w:szCs w:val="32"/>
          <w:lang w:bidi="ar"/>
        </w:rPr>
        <w:t>0</w:t>
      </w:r>
      <w:r>
        <w:rPr>
          <w:rFonts w:hint="eastAsia" w:ascii="仿宋_GB2312" w:cs="仿宋_GB2312"/>
          <w:szCs w:val="32"/>
          <w:lang w:bidi="ar"/>
        </w:rPr>
        <w:t>个，预算资金</w:t>
      </w:r>
      <w:r>
        <w:rPr>
          <w:rFonts w:ascii="仿宋_GB2312" w:cs="仿宋_GB2312"/>
          <w:szCs w:val="32"/>
          <w:lang w:bidi="ar"/>
        </w:rPr>
        <w:t>0</w:t>
      </w:r>
      <w:r>
        <w:rPr>
          <w:rFonts w:hint="eastAsia" w:ascii="仿宋_GB2312" w:cs="仿宋_GB2312"/>
          <w:szCs w:val="32"/>
          <w:lang w:bidi="ar"/>
        </w:rPr>
        <w:t>万元。绩效目标情况详见报表（敏感涉密项目除外）。</w:t>
      </w:r>
    </w:p>
    <w:p w14:paraId="55616A75">
      <w:pPr>
        <w:tabs>
          <w:tab w:val="center" w:pos="4475"/>
        </w:tabs>
        <w:spacing w:line="560" w:lineRule="exact"/>
        <w:ind w:firstLine="640" w:firstLineChars="200"/>
        <w:rPr>
          <w:rFonts w:ascii="黑体" w:eastAsia="黑体"/>
          <w:szCs w:val="32"/>
        </w:rPr>
      </w:pPr>
      <w:r>
        <w:rPr>
          <w:rFonts w:hint="eastAsia" w:ascii="仿宋_GB2312"/>
          <w:szCs w:val="32"/>
        </w:rPr>
        <w:t>（二）重点项目预算绩效目标说明。</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1843"/>
        <w:gridCol w:w="4700"/>
      </w:tblGrid>
      <w:tr w14:paraId="26E4D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18" w:type="dxa"/>
            <w:vAlign w:val="center"/>
          </w:tcPr>
          <w:p w14:paraId="12843505">
            <w:pPr>
              <w:tabs>
                <w:tab w:val="center" w:pos="4475"/>
              </w:tabs>
              <w:spacing w:line="560" w:lineRule="exact"/>
              <w:jc w:val="center"/>
              <w:rPr>
                <w:rFonts w:hint="eastAsia" w:ascii="仿宋" w:hAnsi="仿宋" w:eastAsia="仿宋" w:cs="黑体"/>
                <w:b/>
                <w:szCs w:val="32"/>
              </w:rPr>
            </w:pPr>
            <w:r>
              <w:rPr>
                <w:rFonts w:hint="eastAsia" w:ascii="仿宋" w:hAnsi="仿宋" w:eastAsia="仿宋" w:cs="黑体"/>
                <w:b/>
                <w:szCs w:val="32"/>
              </w:rPr>
              <w:t>项目名称</w:t>
            </w:r>
          </w:p>
        </w:tc>
        <w:tc>
          <w:tcPr>
            <w:tcW w:w="1843" w:type="dxa"/>
            <w:vAlign w:val="center"/>
          </w:tcPr>
          <w:p w14:paraId="53B0A16F">
            <w:pPr>
              <w:tabs>
                <w:tab w:val="center" w:pos="4475"/>
              </w:tabs>
              <w:spacing w:line="560" w:lineRule="exact"/>
              <w:jc w:val="center"/>
              <w:rPr>
                <w:rFonts w:hint="eastAsia" w:ascii="仿宋" w:hAnsi="仿宋" w:eastAsia="仿宋" w:cs="黑体"/>
                <w:b/>
                <w:szCs w:val="32"/>
              </w:rPr>
            </w:pPr>
            <w:r>
              <w:rPr>
                <w:rFonts w:hint="eastAsia" w:ascii="仿宋" w:hAnsi="仿宋" w:eastAsia="仿宋" w:cs="黑体"/>
                <w:b/>
                <w:szCs w:val="32"/>
              </w:rPr>
              <w:t>预算数（单位：万元）</w:t>
            </w:r>
          </w:p>
        </w:tc>
        <w:tc>
          <w:tcPr>
            <w:tcW w:w="4700" w:type="dxa"/>
            <w:vAlign w:val="center"/>
          </w:tcPr>
          <w:p w14:paraId="1F15662F">
            <w:pPr>
              <w:tabs>
                <w:tab w:val="center" w:pos="4475"/>
              </w:tabs>
              <w:spacing w:line="560" w:lineRule="exact"/>
              <w:jc w:val="center"/>
              <w:rPr>
                <w:rFonts w:hint="eastAsia" w:ascii="仿宋" w:hAnsi="仿宋" w:eastAsia="仿宋" w:cs="黑体"/>
                <w:b/>
                <w:szCs w:val="32"/>
              </w:rPr>
            </w:pPr>
            <w:r>
              <w:rPr>
                <w:rFonts w:hint="eastAsia" w:ascii="仿宋" w:hAnsi="仿宋" w:eastAsia="仿宋" w:cs="黑体"/>
                <w:b/>
                <w:szCs w:val="32"/>
              </w:rPr>
              <w:t>绩效目标</w:t>
            </w:r>
          </w:p>
        </w:tc>
      </w:tr>
      <w:tr w14:paraId="2F884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Align w:val="center"/>
          </w:tcPr>
          <w:p w14:paraId="5AE68D38">
            <w:pPr>
              <w:tabs>
                <w:tab w:val="center" w:pos="4475"/>
              </w:tabs>
              <w:spacing w:line="560" w:lineRule="exact"/>
              <w:jc w:val="center"/>
              <w:rPr>
                <w:rFonts w:ascii="仿宋_GB2312" w:cs="仿宋_GB2312"/>
                <w:szCs w:val="32"/>
                <w:lang w:bidi="ar"/>
              </w:rPr>
            </w:pPr>
            <w:r>
              <w:rPr>
                <w:rFonts w:hint="eastAsia" w:ascii="仿宋_GB2312" w:cs="仿宋_GB2312"/>
                <w:szCs w:val="32"/>
                <w:lang w:bidi="ar"/>
              </w:rPr>
              <w:t>广电后勤保障运行经费</w:t>
            </w:r>
          </w:p>
        </w:tc>
        <w:tc>
          <w:tcPr>
            <w:tcW w:w="1843" w:type="dxa"/>
            <w:vAlign w:val="center"/>
          </w:tcPr>
          <w:p w14:paraId="38068FE2">
            <w:pPr>
              <w:tabs>
                <w:tab w:val="center" w:pos="4475"/>
              </w:tabs>
              <w:spacing w:line="560" w:lineRule="exact"/>
              <w:jc w:val="center"/>
              <w:rPr>
                <w:rFonts w:hint="default" w:ascii="仿宋_GB2312" w:eastAsia="仿宋_GB2312" w:cs="仿宋_GB2312"/>
                <w:szCs w:val="32"/>
                <w:lang w:val="en-US" w:eastAsia="zh-CN" w:bidi="ar"/>
              </w:rPr>
            </w:pPr>
            <w:r>
              <w:rPr>
                <w:rFonts w:hint="eastAsia" w:ascii="仿宋_GB2312" w:cs="仿宋_GB2312"/>
                <w:szCs w:val="32"/>
                <w:lang w:val="en-US" w:eastAsia="zh-CN" w:bidi="ar"/>
              </w:rPr>
              <w:t>108.79</w:t>
            </w:r>
          </w:p>
        </w:tc>
        <w:tc>
          <w:tcPr>
            <w:tcW w:w="4700" w:type="dxa"/>
          </w:tcPr>
          <w:p w14:paraId="6F6F3A0E">
            <w:pPr>
              <w:widowControl/>
              <w:numPr>
                <w:ilvl w:val="0"/>
                <w:numId w:val="2"/>
              </w:numPr>
              <w:spacing w:line="560" w:lineRule="exact"/>
              <w:rPr>
                <w:rFonts w:hint="eastAsia" w:ascii="仿宋_GB2312" w:cs="仿宋_GB2312"/>
                <w:szCs w:val="32"/>
                <w:lang w:bidi="ar"/>
              </w:rPr>
            </w:pPr>
            <w:r>
              <w:rPr>
                <w:rFonts w:hint="eastAsia" w:ascii="仿宋_GB2312" w:cs="仿宋_GB2312"/>
                <w:szCs w:val="32"/>
                <w:lang w:bidi="ar"/>
              </w:rPr>
              <w:t>通过开展设备设施维修维护和办公日常运转保障工作，实现无办公区设备设施故障、办公物资短缺影响办公正常运转的情况，达到保障机关工作的正常运转，提升干部职工工作效率，优化办公环境质量的效果。</w:t>
            </w:r>
          </w:p>
          <w:p w14:paraId="10987F0F">
            <w:pPr>
              <w:widowControl/>
              <w:numPr>
                <w:ilvl w:val="0"/>
                <w:numId w:val="2"/>
              </w:numPr>
              <w:spacing w:line="560" w:lineRule="exact"/>
              <w:ind w:left="0" w:leftChars="0" w:firstLine="0" w:firstLineChars="0"/>
              <w:rPr>
                <w:rFonts w:hint="eastAsia" w:ascii="仿宋_GB2312" w:cs="仿宋_GB2312"/>
                <w:szCs w:val="32"/>
                <w:lang w:bidi="ar"/>
              </w:rPr>
            </w:pPr>
            <w:r>
              <w:rPr>
                <w:rFonts w:hint="eastAsia" w:ascii="仿宋_GB2312" w:cs="仿宋_GB2312"/>
                <w:szCs w:val="32"/>
                <w:lang w:bidi="ar"/>
              </w:rPr>
              <w:t>通过开展节能减排宣传和老旧高耗能设备改造维修等节能减排工作，实现公共机构能源资源消费不超定额、减少公共机构能源资源浪费，达到符合节能降碳要求、提升节能降耗成果以及干部职工节能减排意识得到普及的效果。</w:t>
            </w:r>
          </w:p>
          <w:p w14:paraId="473579AF">
            <w:pPr>
              <w:widowControl/>
              <w:numPr>
                <w:ilvl w:val="0"/>
                <w:numId w:val="2"/>
              </w:numPr>
              <w:spacing w:line="560" w:lineRule="exact"/>
              <w:ind w:left="0" w:leftChars="0" w:firstLine="0" w:firstLineChars="0"/>
              <w:rPr>
                <w:rFonts w:hint="eastAsia" w:ascii="仿宋_GB2312" w:cs="仿宋_GB2312"/>
                <w:szCs w:val="32"/>
                <w:lang w:bidi="ar"/>
              </w:rPr>
            </w:pPr>
            <w:r>
              <w:rPr>
                <w:rFonts w:hint="eastAsia" w:ascii="仿宋_GB2312" w:cs="仿宋_GB2312"/>
                <w:szCs w:val="32"/>
                <w:lang w:bidi="ar"/>
              </w:rPr>
              <w:t>通过做好后勤服务智能化平台运行维护工作，确保后勤服务智能化平台正常运行，实现后勤保障服务管理向数字化、智能化、精细化转型升级，达到机关后勤数字化管理综合水平得到提升的效果。</w:t>
            </w:r>
          </w:p>
          <w:p w14:paraId="2565EFEB">
            <w:pPr>
              <w:widowControl/>
              <w:numPr>
                <w:ilvl w:val="0"/>
                <w:numId w:val="0"/>
              </w:numPr>
              <w:spacing w:line="560" w:lineRule="exact"/>
              <w:ind w:leftChars="0"/>
              <w:rPr>
                <w:rFonts w:ascii="仿宋_GB2312" w:cs="仿宋_GB2312"/>
                <w:szCs w:val="32"/>
                <w:lang w:bidi="ar"/>
              </w:rPr>
            </w:pPr>
            <w:r>
              <w:rPr>
                <w:rFonts w:hint="eastAsia" w:ascii="仿宋_GB2312" w:cs="仿宋_GB2312"/>
                <w:szCs w:val="32"/>
                <w:lang w:bidi="ar"/>
              </w:rPr>
              <w:t>4.通过采购新办公设备，优化配置办公设备，实现保障工作顺利运转，减少办公设备性能与各项办公要求不匹配情况，达到提高工作效率、节省维护成本的效果。</w:t>
            </w:r>
          </w:p>
        </w:tc>
      </w:tr>
    </w:tbl>
    <w:p w14:paraId="1E2290E5">
      <w:pPr>
        <w:tabs>
          <w:tab w:val="center" w:pos="4475"/>
        </w:tabs>
        <w:spacing w:line="560" w:lineRule="exact"/>
        <w:rPr>
          <w:rFonts w:ascii="黑体" w:eastAsia="黑体"/>
          <w:szCs w:val="32"/>
        </w:rPr>
      </w:pPr>
    </w:p>
    <w:p w14:paraId="6006A252">
      <w:pPr>
        <w:tabs>
          <w:tab w:val="center" w:pos="4475"/>
        </w:tabs>
        <w:spacing w:line="560" w:lineRule="exact"/>
        <w:ind w:firstLine="645"/>
        <w:jc w:val="center"/>
        <w:rPr>
          <w:rFonts w:ascii="黑体" w:eastAsia="黑体"/>
          <w:szCs w:val="32"/>
        </w:rPr>
      </w:pPr>
      <w:r>
        <w:rPr>
          <w:rFonts w:hint="eastAsia" w:ascii="黑体" w:eastAsia="黑体"/>
          <w:szCs w:val="32"/>
        </w:rPr>
        <w:t>第三部分：名词解释</w:t>
      </w:r>
    </w:p>
    <w:p w14:paraId="757B091E">
      <w:pPr>
        <w:tabs>
          <w:tab w:val="center" w:pos="4475"/>
        </w:tabs>
        <w:spacing w:line="560" w:lineRule="exact"/>
        <w:ind w:firstLine="645"/>
        <w:rPr>
          <w:rFonts w:hint="eastAsia" w:ascii="黑体" w:eastAsia="黑体"/>
          <w:szCs w:val="32"/>
        </w:rPr>
      </w:pPr>
    </w:p>
    <w:p w14:paraId="40E9EF8A">
      <w:pPr>
        <w:tabs>
          <w:tab w:val="center" w:pos="4475"/>
        </w:tabs>
        <w:spacing w:line="560" w:lineRule="exact"/>
        <w:ind w:firstLine="645"/>
        <w:rPr>
          <w:rFonts w:ascii="仿宋_GB2312" w:hAnsi="仿宋"/>
          <w:snapToGrid w:val="0"/>
          <w:color w:val="000000"/>
          <w:szCs w:val="32"/>
        </w:rPr>
      </w:pPr>
      <w:r>
        <w:rPr>
          <w:rFonts w:hint="eastAsia" w:ascii="仿宋_GB2312" w:hAnsi="仿宋"/>
          <w:snapToGrid w:val="0"/>
          <w:color w:val="000000"/>
          <w:szCs w:val="32"/>
        </w:rPr>
        <w:t>一、财政拨款收入：指自治区财政部门当年拨付的资金。</w:t>
      </w:r>
    </w:p>
    <w:p w14:paraId="6F591E29">
      <w:pPr>
        <w:tabs>
          <w:tab w:val="center" w:pos="4475"/>
        </w:tabs>
        <w:spacing w:line="560" w:lineRule="exact"/>
        <w:ind w:firstLine="645"/>
        <w:rPr>
          <w:rFonts w:ascii="仿宋_GB2312" w:hAnsi="仿宋"/>
          <w:snapToGrid w:val="0"/>
          <w:color w:val="000000"/>
          <w:szCs w:val="32"/>
        </w:rPr>
      </w:pPr>
      <w:r>
        <w:rPr>
          <w:rFonts w:hint="eastAsia" w:ascii="仿宋_GB2312" w:hAnsi="仿宋"/>
          <w:snapToGrid w:val="0"/>
          <w:color w:val="000000"/>
          <w:szCs w:val="32"/>
        </w:rPr>
        <w:t>二、事业收入：指事业单位开展专业业务活动及辅助活动所取得的收入。</w:t>
      </w:r>
    </w:p>
    <w:p w14:paraId="1698EFEC">
      <w:pPr>
        <w:tabs>
          <w:tab w:val="center" w:pos="4475"/>
        </w:tabs>
        <w:spacing w:line="560" w:lineRule="exact"/>
        <w:ind w:firstLine="645"/>
        <w:rPr>
          <w:rFonts w:ascii="仿宋_GB2312" w:hAnsi="仿宋"/>
          <w:snapToGrid w:val="0"/>
          <w:color w:val="000000"/>
          <w:szCs w:val="32"/>
        </w:rPr>
      </w:pPr>
      <w:r>
        <w:rPr>
          <w:rFonts w:hint="eastAsia" w:ascii="仿宋_GB2312" w:hAnsi="仿宋"/>
          <w:snapToGrid w:val="0"/>
          <w:color w:val="000000"/>
          <w:szCs w:val="32"/>
        </w:rPr>
        <w:t>三、其他收入：指除上述“财政拨款收入”、“事业收入”、“经营收入”等以外的收入。</w:t>
      </w:r>
    </w:p>
    <w:p w14:paraId="333E9D4A">
      <w:pPr>
        <w:tabs>
          <w:tab w:val="center" w:pos="4475"/>
        </w:tabs>
        <w:spacing w:line="560" w:lineRule="exact"/>
        <w:ind w:firstLine="645"/>
        <w:rPr>
          <w:rFonts w:ascii="仿宋_GB2312" w:hAnsi="仿宋"/>
          <w:snapToGrid w:val="0"/>
          <w:color w:val="000000"/>
          <w:szCs w:val="32"/>
        </w:rPr>
      </w:pPr>
      <w:r>
        <w:rPr>
          <w:rFonts w:hint="eastAsia" w:ascii="仿宋_GB2312" w:hAnsi="仿宋"/>
          <w:snapToGrid w:val="0"/>
          <w:color w:val="000000"/>
          <w:szCs w:val="32"/>
        </w:rPr>
        <w:t>四、基本支出：指为保障机构正常运转、完成日常工作任务而发生的人员支出和公用支出。</w:t>
      </w:r>
    </w:p>
    <w:p w14:paraId="1F496049">
      <w:pPr>
        <w:tabs>
          <w:tab w:val="center" w:pos="4475"/>
        </w:tabs>
        <w:spacing w:line="560" w:lineRule="exact"/>
        <w:ind w:firstLine="645"/>
        <w:rPr>
          <w:rFonts w:ascii="仿宋_GB2312" w:hAnsi="仿宋"/>
          <w:snapToGrid w:val="0"/>
          <w:color w:val="000000"/>
          <w:szCs w:val="32"/>
        </w:rPr>
      </w:pPr>
      <w:r>
        <w:rPr>
          <w:rFonts w:hint="eastAsia" w:ascii="仿宋_GB2312" w:hAnsi="仿宋"/>
          <w:snapToGrid w:val="0"/>
          <w:color w:val="000000"/>
          <w:szCs w:val="32"/>
        </w:rPr>
        <w:t>五、项目支出：指在基本支出之外为完成特定行政任务和事业发展目标所发生的支出。</w:t>
      </w:r>
    </w:p>
    <w:p w14:paraId="5018695B">
      <w:pPr>
        <w:tabs>
          <w:tab w:val="center" w:pos="4475"/>
        </w:tabs>
        <w:spacing w:line="560" w:lineRule="exact"/>
        <w:ind w:firstLine="645"/>
        <w:rPr>
          <w:rFonts w:ascii="仿宋_GB2312" w:hAnsi="仿宋"/>
          <w:snapToGrid w:val="0"/>
          <w:color w:val="000000"/>
          <w:szCs w:val="32"/>
        </w:rPr>
      </w:pPr>
      <w:r>
        <w:rPr>
          <w:rFonts w:hint="eastAsia" w:ascii="仿宋_GB2312" w:hAnsi="仿宋"/>
          <w:snapToGrid w:val="0"/>
          <w:color w:val="000000"/>
          <w:szCs w:val="32"/>
        </w:rPr>
        <w:t>六、“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2ED990F7">
      <w:pPr>
        <w:tabs>
          <w:tab w:val="center" w:pos="4475"/>
        </w:tabs>
        <w:snapToGrid w:val="0"/>
        <w:spacing w:line="560" w:lineRule="exact"/>
        <w:ind w:firstLine="640" w:firstLineChars="200"/>
        <w:rPr>
          <w:rFonts w:hint="eastAsia" w:ascii="仿宋_GB2312"/>
        </w:rPr>
      </w:pPr>
      <w:r>
        <w:rPr>
          <w:rFonts w:hint="eastAsia" w:ascii="仿宋_GB2312" w:hAnsi="仿宋"/>
          <w:snapToGrid w:val="0"/>
          <w:color w:val="000000"/>
          <w:szCs w:val="32"/>
        </w:rPr>
        <w:t>七、事业相关运行经费：是指为保障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_GB2312" w:hAnsi="仿宋"/>
          <w:snapToGrid w:val="0"/>
          <w:color w:val="000000"/>
          <w:szCs w:val="32"/>
        </w:rPr>
        <w:br w:type="textWrapping"/>
      </w:r>
    </w:p>
    <w:p w14:paraId="1A1C23B3">
      <w:pPr>
        <w:adjustRightInd w:val="0"/>
        <w:snapToGrid w:val="0"/>
        <w:spacing w:line="560" w:lineRule="exact"/>
        <w:jc w:val="center"/>
        <w:textAlignment w:val="baseline"/>
        <w:rPr>
          <w:rFonts w:ascii="黑体" w:hAnsi="黑体" w:eastAsia="黑体"/>
          <w:snapToGrid w:val="0"/>
          <w:color w:val="000000"/>
          <w:szCs w:val="32"/>
        </w:rPr>
      </w:pPr>
      <w:r>
        <w:rPr>
          <w:rFonts w:hint="eastAsia" w:ascii="黑体" w:eastAsia="黑体"/>
          <w:szCs w:val="32"/>
        </w:rPr>
        <w:t>第四部分：</w:t>
      </w:r>
      <w:r>
        <w:rPr>
          <w:rFonts w:hint="eastAsia" w:ascii="黑体" w:hAnsi="黑体" w:eastAsia="黑体"/>
          <w:snapToGrid w:val="0"/>
          <w:color w:val="000000"/>
          <w:szCs w:val="32"/>
        </w:rPr>
        <w:t>广西壮族自治区广播电视局机关服务中心</w:t>
      </w:r>
    </w:p>
    <w:p w14:paraId="54FCCAE6">
      <w:pPr>
        <w:adjustRightInd w:val="0"/>
        <w:snapToGrid w:val="0"/>
        <w:spacing w:line="560" w:lineRule="exact"/>
        <w:jc w:val="center"/>
        <w:textAlignment w:val="baseline"/>
        <w:rPr>
          <w:rFonts w:ascii="黑体" w:eastAsia="黑体"/>
          <w:szCs w:val="32"/>
        </w:rPr>
      </w:pPr>
      <w:r>
        <w:rPr>
          <w:rFonts w:hint="eastAsia" w:ascii="黑体" w:hAnsi="黑体" w:eastAsia="黑体"/>
          <w:snapToGrid w:val="0"/>
          <w:color w:val="000000"/>
          <w:szCs w:val="32"/>
        </w:rPr>
        <w:t xml:space="preserve">      </w:t>
      </w:r>
      <w:r>
        <w:rPr>
          <w:rFonts w:hint="eastAsia" w:ascii="黑体" w:hAnsi="宋体" w:eastAsia="黑体"/>
          <w:szCs w:val="32"/>
          <w:lang w:eastAsia="zh-CN"/>
        </w:rPr>
        <w:t>2026</w:t>
      </w:r>
      <w:r>
        <w:rPr>
          <w:rFonts w:hint="eastAsia" w:ascii="黑体" w:hAnsi="宋体" w:eastAsia="黑体"/>
          <w:szCs w:val="32"/>
        </w:rPr>
        <w:t>年</w:t>
      </w:r>
      <w:r>
        <w:rPr>
          <w:rFonts w:hint="eastAsia" w:ascii="黑体" w:eastAsia="黑体"/>
          <w:szCs w:val="32"/>
        </w:rPr>
        <w:t>预算公开报表</w:t>
      </w:r>
    </w:p>
    <w:p w14:paraId="75048C3E">
      <w:pPr>
        <w:adjustRightInd w:val="0"/>
        <w:snapToGrid w:val="0"/>
        <w:spacing w:line="560" w:lineRule="exact"/>
        <w:jc w:val="center"/>
        <w:textAlignment w:val="baseline"/>
        <w:rPr>
          <w:rFonts w:hint="eastAsia" w:ascii="黑体" w:eastAsia="黑体"/>
          <w:szCs w:val="32"/>
        </w:rPr>
      </w:pPr>
    </w:p>
    <w:p w14:paraId="3694EE1B">
      <w:pPr>
        <w:adjustRightInd w:val="0"/>
        <w:snapToGrid w:val="0"/>
        <w:spacing w:line="560" w:lineRule="exact"/>
        <w:ind w:firstLine="640" w:firstLineChars="200"/>
        <w:textAlignment w:val="baseline"/>
        <w:rPr>
          <w:rFonts w:ascii="仿宋_GB2312" w:hAnsi="仿宋"/>
          <w:snapToGrid w:val="0"/>
          <w:color w:val="000000"/>
          <w:szCs w:val="32"/>
        </w:rPr>
      </w:pPr>
      <w:r>
        <w:rPr>
          <w:rFonts w:hint="eastAsia" w:ascii="仿宋_GB2312" w:hAnsi="仿宋"/>
          <w:snapToGrid w:val="0"/>
          <w:color w:val="000000"/>
          <w:szCs w:val="32"/>
        </w:rPr>
        <w:t>一、单位收支总体情况表</w:t>
      </w:r>
    </w:p>
    <w:p w14:paraId="71EB7FCD">
      <w:pPr>
        <w:adjustRightInd w:val="0"/>
        <w:snapToGrid w:val="0"/>
        <w:spacing w:line="560" w:lineRule="exact"/>
        <w:ind w:firstLine="640" w:firstLineChars="200"/>
        <w:textAlignment w:val="baseline"/>
        <w:rPr>
          <w:rFonts w:ascii="仿宋_GB2312" w:hAnsi="仿宋"/>
          <w:snapToGrid w:val="0"/>
          <w:color w:val="000000"/>
          <w:szCs w:val="32"/>
        </w:rPr>
      </w:pPr>
      <w:r>
        <w:rPr>
          <w:rFonts w:hint="eastAsia" w:ascii="仿宋_GB2312" w:hAnsi="仿宋"/>
          <w:snapToGrid w:val="0"/>
          <w:color w:val="000000"/>
          <w:szCs w:val="32"/>
        </w:rPr>
        <w:t>二、单位收入总体情况表</w:t>
      </w:r>
    </w:p>
    <w:p w14:paraId="299B0787">
      <w:pPr>
        <w:adjustRightInd w:val="0"/>
        <w:snapToGrid w:val="0"/>
        <w:spacing w:line="560" w:lineRule="exact"/>
        <w:ind w:firstLine="640" w:firstLineChars="200"/>
        <w:textAlignment w:val="baseline"/>
        <w:rPr>
          <w:rFonts w:ascii="仿宋_GB2312" w:hAnsi="仿宋"/>
          <w:snapToGrid w:val="0"/>
          <w:color w:val="000000"/>
          <w:szCs w:val="32"/>
        </w:rPr>
      </w:pPr>
      <w:r>
        <w:rPr>
          <w:rFonts w:hint="eastAsia" w:ascii="仿宋_GB2312" w:hAnsi="仿宋"/>
          <w:snapToGrid w:val="0"/>
          <w:color w:val="000000"/>
          <w:szCs w:val="32"/>
        </w:rPr>
        <w:t>三、单位支出总体情况表</w:t>
      </w:r>
    </w:p>
    <w:p w14:paraId="5B459799">
      <w:pPr>
        <w:adjustRightInd w:val="0"/>
        <w:snapToGrid w:val="0"/>
        <w:spacing w:line="560" w:lineRule="exact"/>
        <w:ind w:firstLine="640" w:firstLineChars="200"/>
        <w:textAlignment w:val="baseline"/>
        <w:rPr>
          <w:rFonts w:ascii="仿宋_GB2312" w:hAnsi="仿宋"/>
          <w:snapToGrid w:val="0"/>
          <w:color w:val="000000"/>
          <w:szCs w:val="32"/>
        </w:rPr>
      </w:pPr>
      <w:r>
        <w:rPr>
          <w:rFonts w:hint="eastAsia" w:ascii="仿宋_GB2312" w:hAnsi="仿宋"/>
          <w:snapToGrid w:val="0"/>
          <w:color w:val="000000"/>
          <w:szCs w:val="32"/>
        </w:rPr>
        <w:t>四、财政拨款收支总体情况表</w:t>
      </w:r>
    </w:p>
    <w:p w14:paraId="6A0F7B51">
      <w:pPr>
        <w:adjustRightInd w:val="0"/>
        <w:snapToGrid w:val="0"/>
        <w:spacing w:line="560" w:lineRule="exact"/>
        <w:ind w:firstLine="640" w:firstLineChars="200"/>
        <w:textAlignment w:val="baseline"/>
        <w:rPr>
          <w:rFonts w:ascii="仿宋_GB2312" w:hAnsi="仿宋"/>
          <w:snapToGrid w:val="0"/>
          <w:color w:val="000000"/>
          <w:szCs w:val="32"/>
        </w:rPr>
      </w:pPr>
      <w:r>
        <w:rPr>
          <w:rFonts w:hint="eastAsia" w:ascii="仿宋_GB2312" w:hAnsi="仿宋"/>
          <w:snapToGrid w:val="0"/>
          <w:color w:val="000000"/>
          <w:szCs w:val="32"/>
        </w:rPr>
        <w:t>五、一般公共预算支出情况表</w:t>
      </w:r>
    </w:p>
    <w:p w14:paraId="6B472276">
      <w:pPr>
        <w:adjustRightInd w:val="0"/>
        <w:snapToGrid w:val="0"/>
        <w:spacing w:line="560" w:lineRule="exact"/>
        <w:ind w:firstLine="640" w:firstLineChars="200"/>
        <w:textAlignment w:val="baseline"/>
        <w:rPr>
          <w:rFonts w:ascii="仿宋_GB2312" w:hAnsi="仿宋"/>
          <w:snapToGrid w:val="0"/>
          <w:color w:val="000000"/>
          <w:szCs w:val="32"/>
        </w:rPr>
      </w:pPr>
      <w:r>
        <w:rPr>
          <w:rFonts w:hint="eastAsia" w:ascii="仿宋_GB2312" w:hAnsi="仿宋"/>
          <w:snapToGrid w:val="0"/>
          <w:color w:val="000000"/>
          <w:szCs w:val="32"/>
        </w:rPr>
        <w:t>六、一般公共预算基本支出情况表</w:t>
      </w:r>
    </w:p>
    <w:p w14:paraId="57674155">
      <w:pPr>
        <w:adjustRightInd w:val="0"/>
        <w:snapToGrid w:val="0"/>
        <w:spacing w:line="560" w:lineRule="exact"/>
        <w:ind w:left="640" w:leftChars="200"/>
        <w:textAlignment w:val="baseline"/>
        <w:rPr>
          <w:rFonts w:ascii="仿宋_GB2312" w:hAnsi="仿宋"/>
          <w:snapToGrid w:val="0"/>
          <w:color w:val="000000"/>
          <w:szCs w:val="32"/>
        </w:rPr>
      </w:pPr>
      <w:r>
        <w:rPr>
          <w:rFonts w:hint="eastAsia" w:ascii="仿宋_GB2312" w:hAnsi="仿宋"/>
          <w:snapToGrid w:val="0"/>
          <w:color w:val="000000"/>
          <w:szCs w:val="32"/>
        </w:rPr>
        <w:t>七、财政拨款“三公”经费、会议费和培训费支出情况表</w:t>
      </w:r>
    </w:p>
    <w:p w14:paraId="147AF86D">
      <w:pPr>
        <w:adjustRightInd w:val="0"/>
        <w:snapToGrid w:val="0"/>
        <w:spacing w:line="560" w:lineRule="exact"/>
        <w:ind w:left="640" w:leftChars="200"/>
        <w:textAlignment w:val="baseline"/>
        <w:rPr>
          <w:rFonts w:ascii="仿宋_GB2312" w:hAnsi="仿宋"/>
          <w:snapToGrid w:val="0"/>
          <w:color w:val="000000"/>
          <w:szCs w:val="32"/>
        </w:rPr>
      </w:pPr>
      <w:r>
        <w:rPr>
          <w:rFonts w:hint="eastAsia" w:ascii="仿宋_GB2312" w:hAnsi="仿宋"/>
          <w:snapToGrid w:val="0"/>
          <w:color w:val="000000"/>
          <w:szCs w:val="32"/>
        </w:rPr>
        <w:t>八、政府性基金预算支出情况表</w:t>
      </w:r>
    </w:p>
    <w:p w14:paraId="54C16D2B">
      <w:pPr>
        <w:adjustRightInd w:val="0"/>
        <w:snapToGrid w:val="0"/>
        <w:spacing w:line="560" w:lineRule="exact"/>
        <w:ind w:firstLine="640" w:firstLineChars="200"/>
        <w:textAlignment w:val="baseline"/>
        <w:rPr>
          <w:rFonts w:ascii="仿宋_GB2312" w:hAnsi="仿宋"/>
          <w:snapToGrid w:val="0"/>
          <w:color w:val="000000"/>
          <w:szCs w:val="32"/>
        </w:rPr>
      </w:pPr>
      <w:r>
        <w:rPr>
          <w:rFonts w:hint="eastAsia" w:ascii="仿宋_GB2312" w:hAnsi="仿宋"/>
          <w:snapToGrid w:val="0"/>
          <w:color w:val="000000"/>
          <w:szCs w:val="32"/>
        </w:rPr>
        <w:t>九、国有资本经营预算支出情况表</w:t>
      </w:r>
    </w:p>
    <w:p w14:paraId="73DE6BCC">
      <w:pPr>
        <w:adjustRightInd w:val="0"/>
        <w:snapToGrid w:val="0"/>
        <w:spacing w:line="560" w:lineRule="exact"/>
        <w:ind w:firstLine="640" w:firstLineChars="200"/>
        <w:textAlignment w:val="baseline"/>
        <w:rPr>
          <w:rFonts w:ascii="仿宋_GB2312" w:hAnsi="仿宋"/>
          <w:snapToGrid w:val="0"/>
          <w:color w:val="000000"/>
          <w:szCs w:val="32"/>
        </w:rPr>
      </w:pPr>
      <w:r>
        <w:rPr>
          <w:rFonts w:hint="eastAsia" w:ascii="仿宋_GB2312" w:hAnsi="仿宋"/>
          <w:snapToGrid w:val="0"/>
          <w:color w:val="000000"/>
          <w:szCs w:val="32"/>
        </w:rPr>
        <w:t>十、自治区本级项目绩效目标公开表</w:t>
      </w:r>
    </w:p>
    <w:p w14:paraId="13EC97E7">
      <w:pPr>
        <w:adjustRightInd w:val="0"/>
        <w:snapToGrid w:val="0"/>
        <w:spacing w:line="560" w:lineRule="exact"/>
        <w:ind w:firstLine="640" w:firstLineChars="200"/>
        <w:textAlignment w:val="baseline"/>
        <w:rPr>
          <w:rFonts w:ascii="仿宋_GB2312" w:hAnsi="宋体"/>
          <w:szCs w:val="32"/>
        </w:rPr>
      </w:pPr>
      <w:r>
        <w:rPr>
          <w:rFonts w:hint="eastAsia" w:ascii="仿宋_GB2312" w:hAnsi="宋体"/>
          <w:szCs w:val="32"/>
        </w:rPr>
        <w:t>十一、自治区对下转移支付项目绩效目标公开表</w:t>
      </w:r>
    </w:p>
    <w:p w14:paraId="64E25C66">
      <w:pPr>
        <w:tabs>
          <w:tab w:val="center" w:pos="4475"/>
        </w:tabs>
        <w:spacing w:line="560" w:lineRule="exact"/>
        <w:ind w:firstLine="645"/>
        <w:rPr>
          <w:rFonts w:hint="eastAsia" w:ascii="仿宋_GB2312" w:hAnsi="宋体"/>
          <w:b/>
          <w:bCs/>
          <w:szCs w:val="32"/>
          <w:u w:val="single"/>
        </w:rPr>
      </w:pPr>
    </w:p>
    <w:tbl>
      <w:tblPr>
        <w:tblStyle w:val="5"/>
        <w:tblW w:w="8460" w:type="dxa"/>
        <w:tblInd w:w="108" w:type="dxa"/>
        <w:tblLayout w:type="autofit"/>
        <w:tblCellMar>
          <w:top w:w="0" w:type="dxa"/>
          <w:left w:w="108" w:type="dxa"/>
          <w:bottom w:w="0" w:type="dxa"/>
          <w:right w:w="108" w:type="dxa"/>
        </w:tblCellMar>
      </w:tblPr>
      <w:tblGrid>
        <w:gridCol w:w="8460"/>
      </w:tblGrid>
      <w:tr w14:paraId="36779CDE">
        <w:tblPrEx>
          <w:tblCellMar>
            <w:top w:w="0" w:type="dxa"/>
            <w:left w:w="108" w:type="dxa"/>
            <w:bottom w:w="0" w:type="dxa"/>
            <w:right w:w="108" w:type="dxa"/>
          </w:tblCellMar>
        </w:tblPrEx>
        <w:trPr>
          <w:trHeight w:val="645" w:hRule="atLeast"/>
        </w:trPr>
        <w:tc>
          <w:tcPr>
            <w:tcW w:w="8460" w:type="dxa"/>
            <w:tcBorders>
              <w:top w:val="nil"/>
              <w:left w:val="nil"/>
              <w:bottom w:val="nil"/>
              <w:right w:val="nil"/>
            </w:tcBorders>
            <w:noWrap/>
            <w:vAlign w:val="center"/>
          </w:tcPr>
          <w:p w14:paraId="11988DA7">
            <w:pPr>
              <w:widowControl/>
              <w:jc w:val="left"/>
              <w:rPr>
                <w:rFonts w:ascii="宋体" w:hAnsi="宋体" w:eastAsia="宋体" w:cs="Arial"/>
                <w:color w:val="000000"/>
                <w:kern w:val="0"/>
                <w:szCs w:val="32"/>
              </w:rPr>
            </w:pPr>
          </w:p>
        </w:tc>
      </w:tr>
      <w:tr w14:paraId="54A33FB9">
        <w:tblPrEx>
          <w:tblCellMar>
            <w:top w:w="0" w:type="dxa"/>
            <w:left w:w="108" w:type="dxa"/>
            <w:bottom w:w="0" w:type="dxa"/>
            <w:right w:w="108" w:type="dxa"/>
          </w:tblCellMar>
        </w:tblPrEx>
        <w:trPr>
          <w:trHeight w:val="645" w:hRule="atLeast"/>
        </w:trPr>
        <w:tc>
          <w:tcPr>
            <w:tcW w:w="8460" w:type="dxa"/>
            <w:tcBorders>
              <w:top w:val="nil"/>
              <w:left w:val="nil"/>
              <w:bottom w:val="nil"/>
              <w:right w:val="nil"/>
            </w:tcBorders>
            <w:noWrap/>
            <w:vAlign w:val="center"/>
          </w:tcPr>
          <w:p w14:paraId="5AE0CA76">
            <w:pPr>
              <w:widowControl/>
              <w:jc w:val="left"/>
              <w:rPr>
                <w:rFonts w:hint="eastAsia" w:ascii="宋体" w:hAnsi="宋体" w:eastAsia="宋体" w:cs="Arial"/>
                <w:color w:val="000000"/>
                <w:kern w:val="0"/>
                <w:szCs w:val="32"/>
              </w:rPr>
            </w:pPr>
          </w:p>
        </w:tc>
      </w:tr>
      <w:tr w14:paraId="35252891">
        <w:tblPrEx>
          <w:tblCellMar>
            <w:top w:w="0" w:type="dxa"/>
            <w:left w:w="108" w:type="dxa"/>
            <w:bottom w:w="0" w:type="dxa"/>
            <w:right w:w="108" w:type="dxa"/>
          </w:tblCellMar>
        </w:tblPrEx>
        <w:trPr>
          <w:trHeight w:val="645" w:hRule="atLeast"/>
        </w:trPr>
        <w:tc>
          <w:tcPr>
            <w:tcW w:w="8460" w:type="dxa"/>
            <w:tcBorders>
              <w:top w:val="nil"/>
              <w:left w:val="nil"/>
              <w:bottom w:val="nil"/>
              <w:right w:val="nil"/>
            </w:tcBorders>
            <w:noWrap/>
            <w:vAlign w:val="center"/>
          </w:tcPr>
          <w:p w14:paraId="0EFB2FA7">
            <w:pPr>
              <w:widowControl/>
              <w:jc w:val="left"/>
              <w:rPr>
                <w:rFonts w:hint="eastAsia" w:ascii="宋体" w:hAnsi="宋体" w:eastAsia="宋体" w:cs="Arial"/>
                <w:color w:val="000000"/>
                <w:kern w:val="0"/>
                <w:szCs w:val="32"/>
              </w:rPr>
            </w:pPr>
          </w:p>
        </w:tc>
      </w:tr>
    </w:tbl>
    <w:p w14:paraId="4F38C974">
      <w:pPr>
        <w:tabs>
          <w:tab w:val="center" w:pos="4475"/>
        </w:tabs>
        <w:spacing w:line="560" w:lineRule="exact"/>
        <w:ind w:firstLine="645"/>
        <w:rPr>
          <w:rFonts w:hint="eastAsia" w:ascii="仿宋_GB2312" w:hAnsi="宋体"/>
          <w:szCs w:val="32"/>
        </w:rPr>
      </w:pPr>
    </w:p>
    <w:p w14:paraId="4E6B6BF6"/>
    <w:sectPr>
      <w:footerReference r:id="rId3" w:type="default"/>
      <w:footerReference r:id="rId4" w:type="even"/>
      <w:pgSz w:w="11906" w:h="16838"/>
      <w:pgMar w:top="2098" w:right="1474" w:bottom="1984" w:left="1587" w:header="851" w:footer="992" w:gutter="0"/>
      <w:pgNumType w:start="1"/>
      <w:cols w:space="720" w:num="1"/>
      <w:docGrid w:linePitch="634" w:charSpace="-21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B337116-CCD1-454D-BC21-E2CAEC9CF631}"/>
  </w:font>
  <w:font w:name="黑体">
    <w:panose1 w:val="02010609060101010101"/>
    <w:charset w:val="86"/>
    <w:family w:val="auto"/>
    <w:pitch w:val="default"/>
    <w:sig w:usb0="800002BF" w:usb1="38CF7CFA" w:usb2="00000016" w:usb3="00000000" w:csb0="00040001" w:csb1="00000000"/>
    <w:embedRegular r:id="rId2" w:fontKey="{A3B0DC90-0A44-4AD8-B6EB-2728045FF8C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161628F1-AD5D-46AB-B440-3C6BC1E59414}"/>
  </w:font>
  <w:font w:name="方正小标宋_GBK">
    <w:panose1 w:val="02000000000000000000"/>
    <w:charset w:val="86"/>
    <w:family w:val="script"/>
    <w:pitch w:val="default"/>
    <w:sig w:usb0="A00002BF" w:usb1="38CF7CFA" w:usb2="00082016" w:usb3="00000000" w:csb0="00040001" w:csb1="00000000"/>
    <w:embedRegular r:id="rId4" w:fontKey="{4E8AD8C8-1CA4-433F-90A8-B171A8C50A65}"/>
  </w:font>
  <w:font w:name="方正小标宋简体">
    <w:panose1 w:val="03000509000000000000"/>
    <w:charset w:val="86"/>
    <w:family w:val="script"/>
    <w:pitch w:val="default"/>
    <w:sig w:usb0="00000001" w:usb1="080E0000" w:usb2="00000000" w:usb3="00000000" w:csb0="00040000" w:csb1="00000000"/>
    <w:embedRegular r:id="rId5" w:fontKey="{35E27C8D-5B99-441E-825F-1737BC53453C}"/>
  </w:font>
  <w:font w:name="仿宋">
    <w:panose1 w:val="02010609060101010101"/>
    <w:charset w:val="86"/>
    <w:family w:val="modern"/>
    <w:pitch w:val="default"/>
    <w:sig w:usb0="800002BF" w:usb1="38CF7CFA" w:usb2="00000016" w:usb3="00000000" w:csb0="00040001" w:csb1="00000000"/>
    <w:embedRegular r:id="rId6" w:fontKey="{C61C43C2-ECF1-42E3-A0FA-00C72C790D9F}"/>
  </w:font>
  <w:font w:name="楷体_GB2312">
    <w:panose1 w:val="02010609030101010101"/>
    <w:charset w:val="86"/>
    <w:family w:val="modern"/>
    <w:pitch w:val="default"/>
    <w:sig w:usb0="00000001" w:usb1="080E0000" w:usb2="00000000" w:usb3="00000000" w:csb0="00040000" w:csb1="00000000"/>
    <w:embedRegular r:id="rId7" w:fontKey="{2F9B8B9A-5F68-4784-9900-6BC0131C4A4A}"/>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FE659">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0490" cy="13144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0490" cy="131445"/>
                      </a:xfrm>
                      <a:prstGeom prst="rect">
                        <a:avLst/>
                      </a:prstGeom>
                      <a:noFill/>
                      <a:ln>
                        <a:noFill/>
                      </a:ln>
                    </wps:spPr>
                    <wps:txbx>
                      <w:txbxContent>
                        <w:p w14:paraId="63BCB5B9">
                          <w:pPr>
                            <w:pStyle w:val="2"/>
                          </w:pPr>
                          <w:r>
                            <w:fldChar w:fldCharType="begin"/>
                          </w:r>
                          <w:r>
                            <w:instrText xml:space="preserve"> PAGE  \* MERGEFORMAT </w:instrText>
                          </w:r>
                          <w:r>
                            <w:fldChar w:fldCharType="separate"/>
                          </w:r>
                          <w:r>
                            <w:t>7</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8.7pt;mso-position-horizontal:center;mso-position-horizontal-relative:margin;mso-wrap-style:none;z-index:251660288;mso-width-relative:page;mso-height-relative:page;" filled="f" stroked="f" coordsize="21600,21600" o:gfxdata="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4VT9AAAAADAQAADwAAAAAAAAABACAAAAAiAAAAZHJzL2Rv&#10;d25yZXYueG1sUEsBAhQAFAAAAAgAh07iQNVa+q4JAgAAAgQAAA4AAAAAAAAAAQAgAAAAHwEAAGRy&#10;cy9lMm9Eb2MueG1sUEsFBgAAAAAGAAYAWQEAAJoFAAAAAA==&#10;">
              <v:fill on="f" focussize="0,0"/>
              <v:stroke on="f"/>
              <v:imagedata o:title=""/>
              <o:lock v:ext="edit" aspectratio="f"/>
              <v:textbox inset="0mm,0mm,0mm,0mm" style="mso-fit-shape-to-text:t;">
                <w:txbxContent>
                  <w:p w14:paraId="63BCB5B9">
                    <w:pPr>
                      <w:pStyle w:val="2"/>
                    </w:pPr>
                    <w:r>
                      <w:fldChar w:fldCharType="begin"/>
                    </w:r>
                    <w:r>
                      <w:instrText xml:space="preserve"> PAGE  \* MERGEFORMAT </w:instrText>
                    </w:r>
                    <w:r>
                      <w:fldChar w:fldCharType="separate"/>
                    </w:r>
                    <w:r>
                      <w:t>7</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4935" cy="23368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3680"/>
                      </a:xfrm>
                      <a:prstGeom prst="rect">
                        <a:avLst/>
                      </a:prstGeom>
                      <a:noFill/>
                      <a:ln>
                        <a:noFill/>
                      </a:ln>
                    </wps:spPr>
                    <wps:txbx>
                      <w:txbxContent>
                        <w:p w14:paraId="5A5AE0B6">
                          <w:pPr>
                            <w:pStyle w:val="2"/>
                            <w:rPr>
                              <w:rFonts w:hint="eastAsia" w:ascii="仿宋_GB2312" w:hAnsi="仿宋_GB2312" w:cs="仿宋_GB2312"/>
                              <w:sz w:val="32"/>
                              <w:szCs w:val="32"/>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4pt;width:9.05pt;mso-position-horizontal:outside;mso-position-horizontal-relative:margin;mso-wrap-style:none;z-index:251659264;mso-width-relative:page;mso-height-relative:page;" filled="f" stroked="f" coordsize="21600,21600" o:gfxdata="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bRgR0AAAAAMBAAAPAAAAAAAAAAEAIAAAACIAAABkcnMvZG93&#10;bnJldi54bWxQSwECFAAUAAAACACHTuJAFWUuiggCAAACBAAADgAAAAAAAAABACAAAAAfAQAAZHJz&#10;L2Uyb0RvYy54bWxQSwUGAAAAAAYABgBZAQAAmQUAAAAA&#10;">
              <v:fill on="f" focussize="0,0"/>
              <v:stroke on="f"/>
              <v:imagedata o:title=""/>
              <o:lock v:ext="edit" aspectratio="f"/>
              <v:textbox inset="0mm,0mm,0mm,0mm" style="mso-fit-shape-to-text:t;">
                <w:txbxContent>
                  <w:p w14:paraId="5A5AE0B6">
                    <w:pPr>
                      <w:pStyle w:val="2"/>
                      <w:rPr>
                        <w:rFonts w:hint="eastAsia" w:ascii="仿宋_GB2312" w:hAnsi="仿宋_GB2312" w:cs="仿宋_GB2312"/>
                        <w:sz w:val="32"/>
                        <w:szCs w:val="3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8ABC0">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48590562">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661FE4"/>
    <w:multiLevelType w:val="singleLevel"/>
    <w:tmpl w:val="E4661FE4"/>
    <w:lvl w:ilvl="0" w:tentative="0">
      <w:start w:val="1"/>
      <w:numFmt w:val="decimal"/>
      <w:lvlText w:val="%1."/>
      <w:lvlJc w:val="left"/>
      <w:pPr>
        <w:tabs>
          <w:tab w:val="left" w:pos="312"/>
        </w:tabs>
      </w:pPr>
    </w:lvl>
  </w:abstractNum>
  <w:abstractNum w:abstractNumId="1">
    <w:nsid w:val="7BC469C2"/>
    <w:multiLevelType w:val="multilevel"/>
    <w:tmpl w:val="7BC469C2"/>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9DB"/>
    <w:rsid w:val="008F30F3"/>
    <w:rsid w:val="00A55BAC"/>
    <w:rsid w:val="00AA39DB"/>
    <w:rsid w:val="00B565EC"/>
    <w:rsid w:val="00C96860"/>
    <w:rsid w:val="00F765F6"/>
    <w:rsid w:val="01A275D6"/>
    <w:rsid w:val="054B3704"/>
    <w:rsid w:val="059B6A4B"/>
    <w:rsid w:val="067C4444"/>
    <w:rsid w:val="079F169B"/>
    <w:rsid w:val="07C53419"/>
    <w:rsid w:val="07FD72FC"/>
    <w:rsid w:val="08425960"/>
    <w:rsid w:val="093D1475"/>
    <w:rsid w:val="0A92434D"/>
    <w:rsid w:val="0AAF0CDE"/>
    <w:rsid w:val="0AE84B5E"/>
    <w:rsid w:val="0B1F52D6"/>
    <w:rsid w:val="0E0D7668"/>
    <w:rsid w:val="0F027397"/>
    <w:rsid w:val="0F651297"/>
    <w:rsid w:val="12F06675"/>
    <w:rsid w:val="16497FC0"/>
    <w:rsid w:val="1D0B7468"/>
    <w:rsid w:val="1E827A99"/>
    <w:rsid w:val="206D2CCC"/>
    <w:rsid w:val="21A734D8"/>
    <w:rsid w:val="26237712"/>
    <w:rsid w:val="26953B38"/>
    <w:rsid w:val="26A97645"/>
    <w:rsid w:val="2782279F"/>
    <w:rsid w:val="281F2148"/>
    <w:rsid w:val="29974756"/>
    <w:rsid w:val="2C69776A"/>
    <w:rsid w:val="2E985ABF"/>
    <w:rsid w:val="2FE0009C"/>
    <w:rsid w:val="30FF34A0"/>
    <w:rsid w:val="31600A43"/>
    <w:rsid w:val="319F471D"/>
    <w:rsid w:val="31BF28A1"/>
    <w:rsid w:val="32CE3AE8"/>
    <w:rsid w:val="34B32468"/>
    <w:rsid w:val="35956011"/>
    <w:rsid w:val="37211E35"/>
    <w:rsid w:val="3A950A07"/>
    <w:rsid w:val="3AAA7C2D"/>
    <w:rsid w:val="3B462DBD"/>
    <w:rsid w:val="3B547380"/>
    <w:rsid w:val="3B794BCF"/>
    <w:rsid w:val="3C773390"/>
    <w:rsid w:val="41D64E83"/>
    <w:rsid w:val="42325A99"/>
    <w:rsid w:val="45E71401"/>
    <w:rsid w:val="46F11087"/>
    <w:rsid w:val="4B444C14"/>
    <w:rsid w:val="4C6065D9"/>
    <w:rsid w:val="4C7E4CB1"/>
    <w:rsid w:val="4CCA3E03"/>
    <w:rsid w:val="51723FD8"/>
    <w:rsid w:val="51951D61"/>
    <w:rsid w:val="51A10A42"/>
    <w:rsid w:val="53305246"/>
    <w:rsid w:val="536A7743"/>
    <w:rsid w:val="5CD42D99"/>
    <w:rsid w:val="5EB01642"/>
    <w:rsid w:val="5F131BD1"/>
    <w:rsid w:val="5F1B7B4A"/>
    <w:rsid w:val="60963565"/>
    <w:rsid w:val="60A1789A"/>
    <w:rsid w:val="61385EC9"/>
    <w:rsid w:val="635570EF"/>
    <w:rsid w:val="657E3510"/>
    <w:rsid w:val="66BC06C9"/>
    <w:rsid w:val="688E2261"/>
    <w:rsid w:val="690D6E4C"/>
    <w:rsid w:val="6C5C6966"/>
    <w:rsid w:val="6D9A4540"/>
    <w:rsid w:val="6DF75CDE"/>
    <w:rsid w:val="6E8B3532"/>
    <w:rsid w:val="6F72024E"/>
    <w:rsid w:val="6FE949B4"/>
    <w:rsid w:val="725E3F86"/>
    <w:rsid w:val="74082F2F"/>
    <w:rsid w:val="741F1F0A"/>
    <w:rsid w:val="75720710"/>
    <w:rsid w:val="7A7E5F0B"/>
    <w:rsid w:val="7A8D2A12"/>
    <w:rsid w:val="7C806AB1"/>
    <w:rsid w:val="7CA35EEB"/>
    <w:rsid w:val="7F690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0"/>
    <w:pPr>
      <w:tabs>
        <w:tab w:val="center" w:pos="4153"/>
        <w:tab w:val="right" w:pos="8306"/>
      </w:tabs>
      <w:snapToGrid w:val="0"/>
      <w:jc w:val="left"/>
    </w:pPr>
    <w:rPr>
      <w:sz w:val="18"/>
      <w:szCs w:val="18"/>
    </w:rPr>
  </w:style>
  <w:style w:type="paragraph" w:styleId="3">
    <w:name w:val="Plain Text"/>
    <w:basedOn w:val="1"/>
    <w:qFormat/>
    <w:uiPriority w:val="0"/>
    <w:rPr>
      <w:rFonts w:ascii="宋体" w:hAnsi="Courier New"/>
      <w:kern w:val="0"/>
      <w:sz w:val="20"/>
      <w:szCs w:val="21"/>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rPr>
      <w:rFonts w:ascii="Times New Roman" w:hAnsi="Times New Roman" w:eastAsia="宋体" w:cs="Times New Roman"/>
    </w:rPr>
  </w:style>
  <w:style w:type="character" w:customStyle="1" w:styleId="8">
    <w:name w:val="页眉 字符"/>
    <w:basedOn w:val="6"/>
    <w:link w:val="4"/>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13</Pages>
  <Words>4715</Words>
  <Characters>5249</Characters>
  <Lines>31</Lines>
  <Paragraphs>8</Paragraphs>
  <TotalTime>13</TotalTime>
  <ScaleCrop>false</ScaleCrop>
  <LinksUpToDate>false</LinksUpToDate>
  <CharactersWithSpaces>5261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2025-02-19T10:01:00Z</dcterms:created>
  <dc:creator>Windows 用户</dc:creator>
  <cp:lastModifiedBy>单纯的猴子</cp:lastModifiedBy>
  <cp:lastPrinted>2026-02-12T01:50:00Z</cp:lastPrinted>
  <dcterms:modified xsi:type="dcterms:W3CDTF">2026-02-12T02:44:21Z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A5A8F08605004CC2ACDF0852BA1BD94C_13</vt:lpwstr>
  </property>
  <property fmtid="{D5CDD505-2E9C-101B-9397-08002B2CF9AE}" pid="4" name="KSOTemplateDocerSaveRecord">
    <vt:lpwstr>eyJoZGlkIjoiNzZkN2EzYmE3NDY4N2RlMmQ5OTlmY2VmZDU5ODMzNzQiLCJ1c2VySWQiOiI5MzM0ODM4MzYifQ==</vt:lpwstr>
  </property>
</Properties>
</file>