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4B" w:rsidRDefault="00F31EE0">
      <w:pPr>
        <w:adjustRightInd w:val="0"/>
        <w:snapToGrid w:val="0"/>
        <w:spacing w:line="56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广西广播电视技术中心防城港分中心</w:t>
      </w:r>
    </w:p>
    <w:p w:rsidR="00B3754B" w:rsidRDefault="00F31EE0">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w:t>
      </w:r>
      <w:r>
        <w:rPr>
          <w:rFonts w:ascii="方正小标宋简体" w:eastAsia="方正小标宋简体" w:hint="eastAsia"/>
          <w:sz w:val="44"/>
          <w:szCs w:val="44"/>
        </w:rPr>
        <w:t>年单位预算公开说明</w:t>
      </w:r>
    </w:p>
    <w:p w:rsidR="00B3754B" w:rsidRDefault="00B3754B">
      <w:pPr>
        <w:adjustRightInd w:val="0"/>
        <w:snapToGrid w:val="0"/>
        <w:spacing w:line="560" w:lineRule="exact"/>
        <w:ind w:rightChars="-104" w:right="-333"/>
        <w:jc w:val="center"/>
        <w:rPr>
          <w:rFonts w:ascii="黑体" w:eastAsia="黑体" w:hAnsi="宋体"/>
          <w:bCs/>
          <w:szCs w:val="32"/>
        </w:rPr>
      </w:pPr>
    </w:p>
    <w:p w:rsidR="00B3754B" w:rsidRDefault="00F31EE0">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w:t>
      </w:r>
      <w:r>
        <w:rPr>
          <w:rFonts w:ascii="黑体" w:eastAsia="黑体" w:hAnsi="宋体" w:hint="eastAsia"/>
          <w:bCs/>
          <w:szCs w:val="32"/>
        </w:rPr>
        <w:t xml:space="preserve">  </w:t>
      </w:r>
      <w:r>
        <w:rPr>
          <w:rFonts w:ascii="黑体" w:eastAsia="黑体" w:hAnsi="宋体" w:hint="eastAsia"/>
          <w:bCs/>
          <w:szCs w:val="32"/>
        </w:rPr>
        <w:t>录</w:t>
      </w: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F31EE0">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一、单位主要职能</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二、机构设置情况</w:t>
      </w: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F31EE0">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广西广播电视技术中心防城港分中心</w:t>
      </w:r>
      <w:r>
        <w:rPr>
          <w:rFonts w:ascii="黑体" w:eastAsia="黑体" w:hAnsi="宋体" w:hint="eastAsia"/>
          <w:szCs w:val="32"/>
        </w:rPr>
        <w:t>2026</w:t>
      </w:r>
      <w:r>
        <w:rPr>
          <w:rFonts w:ascii="黑体" w:eastAsia="黑体" w:hAnsi="宋体" w:hint="eastAsia"/>
          <w:szCs w:val="32"/>
        </w:rPr>
        <w:t>年</w:t>
      </w:r>
      <w:r>
        <w:rPr>
          <w:rFonts w:ascii="黑体" w:eastAsia="黑体" w:hint="eastAsia"/>
          <w:szCs w:val="32"/>
        </w:rPr>
        <w:t>单位预算情况说明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一、单位预算收支增减变化情况说明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二、单位预算收入总体情况说明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三、单位预算支出总体情况说明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四、政府性基金预算支出情况说明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五、国有资本经营预算支出情况说明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六、一般公共预算“三公”经费支出情况说明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七、事业单位相关运行经费安排情况说明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八、政府采购预算安排情况说明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九、国有资产占用情况说明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十、预算项目绩效目标情况说明</w:t>
      </w: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F31EE0">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第三部分：名词解释</w:t>
      </w: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F31EE0">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广西广播电视技术中心防城港分中心</w:t>
      </w:r>
      <w:r>
        <w:rPr>
          <w:rFonts w:ascii="黑体" w:eastAsia="黑体" w:hAnsi="宋体" w:hint="eastAsia"/>
          <w:szCs w:val="32"/>
        </w:rPr>
        <w:t>2026</w:t>
      </w:r>
      <w:r>
        <w:rPr>
          <w:rFonts w:ascii="黑体" w:eastAsia="黑体" w:hAnsi="宋体" w:hint="eastAsia"/>
          <w:szCs w:val="32"/>
        </w:rPr>
        <w:t>年</w:t>
      </w:r>
      <w:r>
        <w:rPr>
          <w:rFonts w:ascii="黑体" w:eastAsia="黑体" w:hint="eastAsia"/>
          <w:szCs w:val="32"/>
        </w:rPr>
        <w:t>单位预算公开报表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一、单位收支总体情况表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二、单位收入总体情况表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三、单位支出总体情况表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四、财政拨款收支总体情况表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五、一般公共预算支出情况表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六、一般公共预算基本支出情况表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七、财政拨款“三公”经费、会议费和培训费支出情况表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八、政府性基金预算支出情况表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九、国有资本经营预算支出情况表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十、自治区本级项目绩效目标公开表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十一、自治区对下转移支付项目绩效目标公开表</w:t>
      </w: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F31EE0">
      <w:pPr>
        <w:adjustRightInd w:val="0"/>
        <w:snapToGrid w:val="0"/>
        <w:spacing w:line="560" w:lineRule="exact"/>
        <w:ind w:rightChars="-104" w:right="-333" w:firstLineChars="200" w:firstLine="640"/>
        <w:jc w:val="center"/>
        <w:rPr>
          <w:rFonts w:ascii="黑体" w:eastAsia="黑体" w:hAnsi="宋体"/>
          <w:bCs/>
          <w:szCs w:val="32"/>
        </w:rPr>
      </w:pPr>
      <w:r>
        <w:rPr>
          <w:rFonts w:ascii="黑体" w:eastAsia="黑体" w:hAnsi="宋体" w:hint="eastAsia"/>
          <w:bCs/>
          <w:szCs w:val="32"/>
        </w:rPr>
        <w:lastRenderedPageBreak/>
        <w:t>第一部分：单位概况</w:t>
      </w:r>
    </w:p>
    <w:p w:rsidR="00B3754B" w:rsidRDefault="00B3754B">
      <w:pPr>
        <w:adjustRightInd w:val="0"/>
        <w:snapToGrid w:val="0"/>
        <w:spacing w:line="560" w:lineRule="exact"/>
        <w:ind w:rightChars="-104" w:right="-333" w:firstLineChars="200" w:firstLine="640"/>
        <w:rPr>
          <w:rFonts w:ascii="黑体" w:eastAsia="黑体" w:hAnsi="宋体"/>
          <w:bCs/>
          <w:szCs w:val="32"/>
        </w:rPr>
      </w:pPr>
    </w:p>
    <w:p w:rsidR="00B3754B" w:rsidRDefault="00F31EE0">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负责广播电视信号在防城港市及周边地区范围内传输、转播、发射，承担所辖广播电视无线发射台站设备维护管理；承担所辖区域应急广播业务开展以及新闻出版广播影视新媒体新业务（无线）的集成分发。</w:t>
      </w:r>
    </w:p>
    <w:p w:rsidR="00B3754B" w:rsidRDefault="00F31EE0">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广西广播电视技术中心防城港分中心为三级预算单位，隶属于广西壮族自治区广播电视局。</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（一）广西广播电视技术中心防城港分中心</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其内设机构有办公室（财务人员属办公室管理）、防城中波维护部、上思维护部、二四八台维护部、村村通维护部，共</w:t>
      </w:r>
      <w:r>
        <w:rPr>
          <w:rFonts w:ascii="仿宋_GB2312" w:eastAsia="仿宋_GB2312" w:hAnsi="宋体" w:hint="eastAsia"/>
          <w:szCs w:val="32"/>
        </w:rPr>
        <w:t>5</w:t>
      </w:r>
      <w:r>
        <w:rPr>
          <w:rFonts w:ascii="仿宋_GB2312" w:eastAsia="仿宋_GB2312" w:hAnsi="宋体" w:hint="eastAsia"/>
          <w:szCs w:val="32"/>
        </w:rPr>
        <w:t>个部门。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w:t>
      </w:r>
      <w:r>
        <w:rPr>
          <w:rFonts w:ascii="仿宋_GB2312" w:eastAsia="宋体" w:hAnsi="宋体" w:hint="eastAsia"/>
          <w:szCs w:val="32"/>
        </w:rPr>
        <w:t>二</w:t>
      </w:r>
      <w:r>
        <w:rPr>
          <w:rFonts w:ascii="仿宋_GB2312" w:eastAsia="仿宋_GB2312" w:hAnsi="宋体" w:hint="eastAsia"/>
          <w:szCs w:val="32"/>
        </w:rPr>
        <w:t>）人员构成情况</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1.</w:t>
      </w:r>
      <w:r>
        <w:rPr>
          <w:rFonts w:ascii="仿宋_GB2312" w:eastAsia="仿宋_GB2312" w:hAnsi="宋体" w:hint="eastAsia"/>
          <w:szCs w:val="32"/>
        </w:rPr>
        <w:t>在职人员构成</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广西广播电视技术中心防城港分中心为全额拨款预算管理事业单位，纳入单位预算人员编制共</w:t>
      </w:r>
      <w:r>
        <w:rPr>
          <w:rFonts w:ascii="仿宋_GB2312" w:eastAsia="仿宋_GB2312" w:hAnsi="宋体" w:hint="eastAsia"/>
          <w:szCs w:val="32"/>
        </w:rPr>
        <w:t>46</w:t>
      </w:r>
      <w:r>
        <w:rPr>
          <w:rFonts w:ascii="仿宋_GB2312" w:eastAsia="仿宋_GB2312" w:hAnsi="宋体" w:hint="eastAsia"/>
          <w:szCs w:val="32"/>
        </w:rPr>
        <w:t>人（其中：事业编制数</w:t>
      </w:r>
      <w:r>
        <w:rPr>
          <w:rFonts w:ascii="仿宋_GB2312" w:eastAsia="仿宋_GB2312" w:hAnsi="宋体" w:hint="eastAsia"/>
          <w:szCs w:val="32"/>
        </w:rPr>
        <w:t>45</w:t>
      </w:r>
      <w:r>
        <w:rPr>
          <w:rFonts w:ascii="仿宋_GB2312" w:eastAsia="仿宋_GB2312" w:hAnsi="宋体" w:hint="eastAsia"/>
          <w:szCs w:val="32"/>
        </w:rPr>
        <w:t>人，机关后勤服务中心控制数</w:t>
      </w:r>
      <w:r>
        <w:rPr>
          <w:rFonts w:ascii="仿宋_GB2312" w:eastAsia="仿宋_GB2312" w:hAnsi="宋体" w:hint="eastAsia"/>
          <w:szCs w:val="32"/>
        </w:rPr>
        <w:t>1</w:t>
      </w:r>
      <w:r>
        <w:rPr>
          <w:rFonts w:ascii="仿宋_GB2312" w:eastAsia="仿宋_GB2312" w:hAnsi="宋体" w:hint="eastAsia"/>
          <w:szCs w:val="32"/>
        </w:rPr>
        <w:t>人）。截至</w:t>
      </w:r>
      <w:r>
        <w:rPr>
          <w:rFonts w:ascii="仿宋_GB2312" w:eastAsia="仿宋_GB2312" w:hAnsi="宋体" w:hint="eastAsia"/>
          <w:szCs w:val="32"/>
        </w:rPr>
        <w:t>2025</w:t>
      </w:r>
      <w:r>
        <w:rPr>
          <w:rFonts w:ascii="仿宋_GB2312" w:eastAsia="仿宋_GB2312" w:hAnsi="宋体" w:hint="eastAsia"/>
          <w:szCs w:val="32"/>
        </w:rPr>
        <w:t>年</w:t>
      </w:r>
      <w:r>
        <w:rPr>
          <w:rFonts w:ascii="仿宋_GB2312" w:eastAsia="仿宋_GB2312" w:hAnsi="宋体" w:hint="eastAsia"/>
          <w:szCs w:val="32"/>
        </w:rPr>
        <w:t>11</w:t>
      </w:r>
      <w:r>
        <w:rPr>
          <w:rFonts w:ascii="仿宋_GB2312" w:eastAsia="仿宋_GB2312" w:hAnsi="宋体" w:hint="eastAsia"/>
          <w:szCs w:val="32"/>
        </w:rPr>
        <w:t>月事业编制内实有在职人员</w:t>
      </w:r>
      <w:r>
        <w:rPr>
          <w:rFonts w:ascii="仿宋_GB2312" w:eastAsia="仿宋_GB2312" w:hAnsi="宋体" w:hint="eastAsia"/>
          <w:szCs w:val="32"/>
        </w:rPr>
        <w:t>45</w:t>
      </w:r>
      <w:r>
        <w:rPr>
          <w:rFonts w:ascii="仿宋_GB2312" w:eastAsia="仿宋_GB2312" w:hAnsi="宋体" w:hint="eastAsia"/>
          <w:szCs w:val="32"/>
        </w:rPr>
        <w:t>人（其中：事业编制在职人数</w:t>
      </w:r>
      <w:r>
        <w:rPr>
          <w:rFonts w:ascii="仿宋_GB2312" w:eastAsia="仿宋_GB2312" w:hAnsi="宋体" w:hint="eastAsia"/>
          <w:szCs w:val="32"/>
        </w:rPr>
        <w:t>44</w:t>
      </w:r>
      <w:r>
        <w:rPr>
          <w:rFonts w:ascii="仿宋_GB2312" w:eastAsia="仿宋_GB2312" w:hAnsi="宋体" w:hint="eastAsia"/>
          <w:szCs w:val="32"/>
        </w:rPr>
        <w:t>人，控制数内实有人数</w:t>
      </w:r>
      <w:r>
        <w:rPr>
          <w:rFonts w:ascii="仿宋_GB2312" w:eastAsia="仿宋_GB2312" w:hAnsi="宋体" w:hint="eastAsia"/>
          <w:szCs w:val="32"/>
        </w:rPr>
        <w:t>1</w:t>
      </w:r>
      <w:r>
        <w:rPr>
          <w:rFonts w:ascii="仿宋_GB2312" w:eastAsia="仿宋_GB2312" w:hAnsi="宋体" w:hint="eastAsia"/>
          <w:szCs w:val="32"/>
        </w:rPr>
        <w:t>人），较上年增加</w:t>
      </w:r>
      <w:r>
        <w:rPr>
          <w:rFonts w:ascii="仿宋_GB2312" w:eastAsia="仿宋_GB2312" w:hAnsi="宋体" w:hint="eastAsia"/>
          <w:szCs w:val="32"/>
        </w:rPr>
        <w:t>2</w:t>
      </w:r>
      <w:r>
        <w:rPr>
          <w:rFonts w:ascii="仿宋_GB2312" w:eastAsia="仿宋_GB2312" w:hAnsi="宋体" w:hint="eastAsia"/>
          <w:szCs w:val="32"/>
        </w:rPr>
        <w:t>人。</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lastRenderedPageBreak/>
        <w:t>2.</w:t>
      </w:r>
      <w:r>
        <w:rPr>
          <w:rFonts w:ascii="仿宋_GB2312" w:eastAsia="仿宋_GB2312" w:hAnsi="宋体" w:hint="eastAsia"/>
          <w:szCs w:val="32"/>
        </w:rPr>
        <w:t>退休人员构成</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2025</w:t>
      </w:r>
      <w:r>
        <w:rPr>
          <w:rFonts w:ascii="仿宋_GB2312" w:eastAsia="仿宋_GB2312" w:hAnsi="宋体" w:hint="eastAsia"/>
          <w:szCs w:val="32"/>
        </w:rPr>
        <w:t>年纳入单位预算离退休人员</w:t>
      </w:r>
      <w:r>
        <w:rPr>
          <w:rFonts w:ascii="仿宋_GB2312" w:eastAsia="仿宋_GB2312" w:hAnsi="宋体" w:hint="eastAsia"/>
          <w:szCs w:val="32"/>
        </w:rPr>
        <w:t>26</w:t>
      </w:r>
      <w:r>
        <w:rPr>
          <w:rFonts w:ascii="仿宋_GB2312" w:eastAsia="仿宋_GB2312" w:hAnsi="宋体" w:hint="eastAsia"/>
          <w:szCs w:val="32"/>
        </w:rPr>
        <w:t>人，较上年增加</w:t>
      </w:r>
      <w:r>
        <w:rPr>
          <w:rFonts w:ascii="仿宋_GB2312" w:eastAsia="仿宋_GB2312" w:hAnsi="宋体" w:hint="eastAsia"/>
          <w:szCs w:val="32"/>
        </w:rPr>
        <w:t>1</w:t>
      </w:r>
      <w:r>
        <w:rPr>
          <w:rFonts w:ascii="仿宋_GB2312" w:eastAsia="仿宋_GB2312" w:hAnsi="宋体" w:hint="eastAsia"/>
          <w:szCs w:val="32"/>
        </w:rPr>
        <w:t>人，均为财政供养退休人</w:t>
      </w:r>
      <w:r>
        <w:rPr>
          <w:rFonts w:ascii="仿宋_GB2312" w:eastAsia="仿宋_GB2312" w:hAnsi="宋体" w:hint="eastAsia"/>
          <w:szCs w:val="32"/>
        </w:rPr>
        <w:t>员。</w:t>
      </w: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F31EE0">
      <w:pPr>
        <w:tabs>
          <w:tab w:val="center" w:pos="4475"/>
        </w:tabs>
        <w:spacing w:line="560" w:lineRule="exact"/>
        <w:jc w:val="center"/>
        <w:rPr>
          <w:rFonts w:ascii="黑体" w:eastAsia="黑体"/>
          <w:spacing w:val="-22"/>
          <w:szCs w:val="32"/>
        </w:rPr>
      </w:pPr>
      <w:r>
        <w:rPr>
          <w:rFonts w:ascii="黑体" w:eastAsia="黑体" w:hint="eastAsia"/>
          <w:spacing w:val="-22"/>
          <w:szCs w:val="32"/>
        </w:rPr>
        <w:lastRenderedPageBreak/>
        <w:t>第二部分：</w:t>
      </w:r>
      <w:r>
        <w:rPr>
          <w:rFonts w:ascii="黑体" w:eastAsia="黑体" w:hAnsi="宋体" w:hint="eastAsia"/>
          <w:spacing w:val="-22"/>
          <w:szCs w:val="32"/>
        </w:rPr>
        <w:t>广西广播电视技术中心防城港分中心</w:t>
      </w:r>
      <w:r>
        <w:rPr>
          <w:rFonts w:ascii="黑体" w:eastAsia="黑体" w:hAnsi="宋体" w:hint="eastAsia"/>
          <w:spacing w:val="-22"/>
          <w:szCs w:val="32"/>
        </w:rPr>
        <w:t>2026</w:t>
      </w:r>
      <w:r>
        <w:rPr>
          <w:rFonts w:ascii="黑体" w:eastAsia="黑体" w:hAnsi="宋体" w:hint="eastAsia"/>
          <w:spacing w:val="-22"/>
          <w:szCs w:val="32"/>
        </w:rPr>
        <w:t>年</w:t>
      </w:r>
      <w:r>
        <w:rPr>
          <w:rFonts w:ascii="黑体" w:eastAsia="黑体" w:hint="eastAsia"/>
          <w:spacing w:val="-22"/>
          <w:szCs w:val="32"/>
        </w:rPr>
        <w:t>单位预算情况说明</w:t>
      </w:r>
    </w:p>
    <w:p w:rsidR="00B3754B" w:rsidRDefault="00B3754B">
      <w:pPr>
        <w:tabs>
          <w:tab w:val="center" w:pos="4475"/>
        </w:tabs>
        <w:spacing w:line="560" w:lineRule="exact"/>
        <w:ind w:firstLine="645"/>
        <w:rPr>
          <w:rFonts w:ascii="方正仿宋_GB2312" w:hAnsi="方正仿宋_GB2312" w:cs="方正仿宋_GB2312"/>
          <w:szCs w:val="32"/>
        </w:rPr>
      </w:pPr>
    </w:p>
    <w:p w:rsidR="00B3754B" w:rsidRDefault="00F31EE0">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B3754B" w:rsidRDefault="00F31EE0">
      <w:pPr>
        <w:tabs>
          <w:tab w:val="center" w:pos="4475"/>
        </w:tabs>
        <w:spacing w:line="600" w:lineRule="exact"/>
        <w:ind w:firstLine="645"/>
        <w:rPr>
          <w:rFonts w:ascii="仿宋_GB2312" w:eastAsia="仿宋_GB2312" w:hAnsi="宋体"/>
          <w:szCs w:val="32"/>
        </w:rPr>
      </w:pPr>
      <w:bookmarkStart w:id="0" w:name="_Hlk500423081"/>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年总收入</w:t>
      </w:r>
      <w:r>
        <w:rPr>
          <w:rFonts w:ascii="仿宋_GB2312" w:eastAsia="仿宋_GB2312" w:hAnsi="宋体" w:hint="eastAsia"/>
          <w:szCs w:val="32"/>
        </w:rPr>
        <w:t>1,781.44</w:t>
      </w:r>
      <w:r>
        <w:rPr>
          <w:rFonts w:ascii="仿宋_GB2312" w:eastAsia="仿宋_GB2312" w:hAnsi="宋体" w:hint="eastAsia"/>
          <w:szCs w:val="32"/>
        </w:rPr>
        <w:t>万元（不含财政拨款上年未列支结转收支数），较上年增加</w:t>
      </w:r>
      <w:r>
        <w:rPr>
          <w:rFonts w:ascii="仿宋_GB2312" w:eastAsia="仿宋_GB2312" w:hAnsi="宋体" w:hint="eastAsia"/>
          <w:szCs w:val="32"/>
        </w:rPr>
        <w:t>148.77</w:t>
      </w:r>
      <w:r>
        <w:rPr>
          <w:rFonts w:ascii="仿宋_GB2312" w:eastAsia="仿宋_GB2312" w:hAnsi="宋体" w:hint="eastAsia"/>
          <w:szCs w:val="32"/>
        </w:rPr>
        <w:t>万元，增长</w:t>
      </w:r>
      <w:r>
        <w:rPr>
          <w:rFonts w:ascii="仿宋_GB2312" w:eastAsia="仿宋_GB2312" w:hAnsi="宋体" w:hint="eastAsia"/>
          <w:szCs w:val="32"/>
        </w:rPr>
        <w:t>9.11%</w:t>
      </w:r>
      <w:r>
        <w:rPr>
          <w:rFonts w:ascii="仿宋_GB2312" w:eastAsia="仿宋_GB2312" w:hAnsi="宋体" w:hint="eastAsia"/>
          <w:szCs w:val="32"/>
        </w:rPr>
        <w:t>。</w:t>
      </w:r>
      <w:bookmarkEnd w:id="0"/>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总收入增加的主要原因：一是在职人员增加以及根据自治区人社厅有关文件精神调增基本工资标准，工资总额相应增加，根据工资总额计提的五险二金、工会经费、其他对个人和家庭的补助支出等相应增加；二是根据</w:t>
      </w:r>
      <w:r>
        <w:rPr>
          <w:rFonts w:ascii="仿宋_GB2312" w:eastAsia="仿宋_GB2312" w:hAnsi="宋体" w:hint="eastAsia"/>
          <w:szCs w:val="32"/>
        </w:rPr>
        <w:t>2026</w:t>
      </w:r>
      <w:r>
        <w:rPr>
          <w:rFonts w:ascii="仿宋_GB2312" w:eastAsia="仿宋_GB2312" w:hAnsi="宋体" w:hint="eastAsia"/>
          <w:szCs w:val="32"/>
        </w:rPr>
        <w:t>年工作业务实际，项目预算增加。</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年总支出</w:t>
      </w:r>
      <w:r>
        <w:rPr>
          <w:rFonts w:ascii="仿宋_GB2312" w:eastAsia="仿宋_GB2312" w:hAnsi="宋体" w:hint="eastAsia"/>
          <w:szCs w:val="32"/>
        </w:rPr>
        <w:t>1,781.44</w:t>
      </w:r>
      <w:r>
        <w:rPr>
          <w:rFonts w:ascii="仿宋_GB2312" w:eastAsia="仿宋_GB2312" w:hAnsi="宋体" w:hint="eastAsia"/>
          <w:szCs w:val="32"/>
        </w:rPr>
        <w:t>万元（不含财政拨款上年未列支结转收支数），较上年增加</w:t>
      </w:r>
      <w:r>
        <w:rPr>
          <w:rFonts w:ascii="仿宋_GB2312" w:eastAsia="仿宋_GB2312" w:hAnsi="宋体" w:hint="eastAsia"/>
          <w:szCs w:val="32"/>
        </w:rPr>
        <w:t>148.77</w:t>
      </w:r>
      <w:r>
        <w:rPr>
          <w:rFonts w:ascii="仿宋_GB2312" w:eastAsia="仿宋_GB2312" w:hAnsi="宋体" w:hint="eastAsia"/>
          <w:szCs w:val="32"/>
        </w:rPr>
        <w:t>万元，增长</w:t>
      </w:r>
      <w:r>
        <w:rPr>
          <w:rFonts w:ascii="仿宋_GB2312" w:eastAsia="仿宋_GB2312" w:hAnsi="宋体" w:hint="eastAsia"/>
          <w:szCs w:val="32"/>
        </w:rPr>
        <w:t>9.11%</w:t>
      </w:r>
      <w:r>
        <w:rPr>
          <w:rFonts w:ascii="仿宋_GB2312" w:eastAsia="仿宋_GB2312" w:hAnsi="宋体" w:hint="eastAsia"/>
          <w:szCs w:val="32"/>
        </w:rPr>
        <w:t>。</w:t>
      </w:r>
    </w:p>
    <w:p w:rsidR="00B3754B" w:rsidRDefault="00F31EE0">
      <w:pPr>
        <w:tabs>
          <w:tab w:val="center" w:pos="4475"/>
        </w:tabs>
        <w:spacing w:line="600" w:lineRule="exact"/>
        <w:ind w:firstLine="645"/>
        <w:rPr>
          <w:rFonts w:ascii="方正仿宋_GB2312"/>
          <w:color w:val="FF0000"/>
          <w:szCs w:val="32"/>
        </w:rPr>
      </w:pPr>
      <w:r>
        <w:rPr>
          <w:rFonts w:ascii="仿宋_GB2312" w:eastAsia="仿宋_GB2312" w:hAnsi="宋体" w:hint="eastAsia"/>
          <w:szCs w:val="32"/>
        </w:rPr>
        <w:t>总支出增加的主要原因与总收入增加的主要原因相同。</w:t>
      </w:r>
    </w:p>
    <w:p w:rsidR="00B3754B" w:rsidRDefault="00F31EE0">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2026</w:t>
      </w:r>
      <w:r>
        <w:rPr>
          <w:rFonts w:ascii="仿宋_GB2312" w:eastAsia="仿宋_GB2312" w:hAnsi="宋体" w:hint="eastAsia"/>
          <w:szCs w:val="32"/>
        </w:rPr>
        <w:t>年收入总预算</w:t>
      </w:r>
      <w:r>
        <w:rPr>
          <w:rFonts w:ascii="仿宋_GB2312" w:eastAsia="仿宋_GB2312" w:hAnsi="宋体" w:hint="eastAsia"/>
          <w:szCs w:val="32"/>
        </w:rPr>
        <w:t>1,781.44</w:t>
      </w:r>
      <w:r>
        <w:rPr>
          <w:rFonts w:ascii="仿宋_GB2312" w:eastAsia="仿宋_GB2312" w:hAnsi="宋体" w:hint="eastAsia"/>
          <w:szCs w:val="32"/>
        </w:rPr>
        <w:t>万元，同比上年增长</w:t>
      </w:r>
      <w:r>
        <w:rPr>
          <w:rFonts w:ascii="仿宋_GB2312" w:eastAsia="仿宋_GB2312" w:hAnsi="宋体" w:hint="eastAsia"/>
          <w:szCs w:val="32"/>
        </w:rPr>
        <w:t>148.77</w:t>
      </w:r>
      <w:r>
        <w:rPr>
          <w:rFonts w:ascii="仿宋_GB2312" w:eastAsia="仿宋_GB2312" w:hAnsi="宋体" w:hint="eastAsia"/>
          <w:szCs w:val="32"/>
        </w:rPr>
        <w:t>万元，增长</w:t>
      </w:r>
      <w:r>
        <w:rPr>
          <w:rFonts w:ascii="仿宋_GB2312" w:eastAsia="仿宋_GB2312" w:hAnsi="宋体" w:hint="eastAsia"/>
          <w:szCs w:val="32"/>
        </w:rPr>
        <w:t>9.11%</w:t>
      </w:r>
      <w:r>
        <w:rPr>
          <w:rFonts w:ascii="仿宋_GB2312" w:eastAsia="仿宋_GB2312" w:hAnsi="宋体" w:hint="eastAsia"/>
          <w:szCs w:val="32"/>
        </w:rPr>
        <w:t>。其中：</w:t>
      </w:r>
      <w:r>
        <w:rPr>
          <w:rFonts w:ascii="仿宋_GB2312" w:eastAsia="仿宋_GB2312" w:hAnsi="宋体" w:hint="eastAsia"/>
          <w:szCs w:val="32"/>
        </w:rPr>
        <w:t xml:space="preserve"> </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（一）一般公共预算拨款增（减）原因</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年一般公共预算拨款</w:t>
      </w:r>
      <w:r>
        <w:rPr>
          <w:rFonts w:ascii="仿宋_GB2312" w:eastAsia="仿宋_GB2312" w:hAnsi="宋体" w:hint="eastAsia"/>
          <w:szCs w:val="32"/>
        </w:rPr>
        <w:t>1,740.64</w:t>
      </w:r>
      <w:r>
        <w:rPr>
          <w:rFonts w:ascii="仿宋_GB2312" w:eastAsia="仿宋_GB2312" w:hAnsi="宋体" w:hint="eastAsia"/>
          <w:szCs w:val="32"/>
        </w:rPr>
        <w:t>万元，较上年增长</w:t>
      </w:r>
      <w:r>
        <w:rPr>
          <w:rFonts w:ascii="仿宋_GB2312" w:eastAsia="仿宋_GB2312" w:hAnsi="宋体" w:hint="eastAsia"/>
          <w:szCs w:val="32"/>
        </w:rPr>
        <w:t>128.57</w:t>
      </w:r>
      <w:r>
        <w:rPr>
          <w:rFonts w:ascii="仿宋_GB2312" w:eastAsia="仿宋_GB2312" w:hAnsi="宋体" w:hint="eastAsia"/>
          <w:szCs w:val="32"/>
        </w:rPr>
        <w:t>万元，增长</w:t>
      </w:r>
      <w:r>
        <w:rPr>
          <w:rFonts w:ascii="仿宋_GB2312" w:eastAsia="仿宋_GB2312" w:hAnsi="宋体" w:hint="eastAsia"/>
          <w:szCs w:val="32"/>
        </w:rPr>
        <w:t>7.98%</w:t>
      </w:r>
      <w:r>
        <w:rPr>
          <w:rFonts w:ascii="仿宋_GB2312" w:eastAsia="仿宋_GB2312" w:hAnsi="宋体" w:hint="eastAsia"/>
          <w:szCs w:val="32"/>
        </w:rPr>
        <w:t>。</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增长的主要原因：在职人员增加以及根据自治区人社厅有关文件精神调增基本工资</w:t>
      </w:r>
      <w:r>
        <w:rPr>
          <w:rFonts w:ascii="仿宋_GB2312" w:eastAsia="仿宋_GB2312" w:hAnsi="宋体" w:hint="eastAsia"/>
          <w:szCs w:val="32"/>
        </w:rPr>
        <w:t>标准，工资总额相应增加，根据工资</w:t>
      </w:r>
      <w:r>
        <w:rPr>
          <w:rFonts w:ascii="仿宋_GB2312" w:eastAsia="仿宋_GB2312" w:hAnsi="宋体" w:hint="eastAsia"/>
          <w:szCs w:val="32"/>
        </w:rPr>
        <w:lastRenderedPageBreak/>
        <w:t>总额计提的五险二金、工会经费、其他对个人和家庭的补助支出等相应增加</w:t>
      </w:r>
      <w:r>
        <w:rPr>
          <w:rFonts w:ascii="仿宋_GB2312" w:eastAsia="仿宋_GB2312" w:hAnsi="宋体" w:hint="eastAsia"/>
          <w:szCs w:val="32"/>
        </w:rPr>
        <w:t>。</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（二）单位资金增（减）原因</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年其他收入</w:t>
      </w:r>
      <w:r>
        <w:rPr>
          <w:rFonts w:ascii="仿宋_GB2312" w:eastAsia="仿宋_GB2312" w:hAnsi="宋体" w:hint="eastAsia"/>
          <w:szCs w:val="32"/>
        </w:rPr>
        <w:t>40.80</w:t>
      </w:r>
      <w:r>
        <w:rPr>
          <w:rFonts w:ascii="仿宋_GB2312" w:eastAsia="仿宋_GB2312" w:hAnsi="宋体" w:hint="eastAsia"/>
          <w:szCs w:val="32"/>
        </w:rPr>
        <w:t>万元，较上年增长</w:t>
      </w:r>
      <w:r>
        <w:rPr>
          <w:rFonts w:ascii="仿宋_GB2312" w:eastAsia="仿宋_GB2312" w:hAnsi="宋体" w:hint="eastAsia"/>
          <w:szCs w:val="32"/>
        </w:rPr>
        <w:t>20.20</w:t>
      </w:r>
      <w:r>
        <w:rPr>
          <w:rFonts w:ascii="仿宋_GB2312" w:eastAsia="仿宋_GB2312" w:hAnsi="宋体" w:hint="eastAsia"/>
          <w:szCs w:val="32"/>
        </w:rPr>
        <w:t>万元，增长</w:t>
      </w:r>
      <w:r>
        <w:rPr>
          <w:rFonts w:ascii="仿宋_GB2312" w:eastAsia="仿宋_GB2312" w:hAnsi="宋体" w:hint="eastAsia"/>
          <w:szCs w:val="32"/>
        </w:rPr>
        <w:t>98.06%</w:t>
      </w:r>
      <w:r>
        <w:rPr>
          <w:rFonts w:ascii="仿宋_GB2312" w:eastAsia="仿宋_GB2312" w:hAnsi="宋体" w:hint="eastAsia"/>
          <w:szCs w:val="32"/>
        </w:rPr>
        <w:t>。</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增长的主要原因是</w:t>
      </w:r>
      <w:r>
        <w:rPr>
          <w:rFonts w:ascii="仿宋_GB2312" w:eastAsia="仿宋_GB2312" w:hAnsi="宋体" w:hint="eastAsia"/>
          <w:szCs w:val="32"/>
        </w:rPr>
        <w:t>2026</w:t>
      </w:r>
      <w:r>
        <w:rPr>
          <w:rFonts w:ascii="仿宋_GB2312" w:eastAsia="仿宋_GB2312" w:hAnsi="宋体" w:hint="eastAsia"/>
          <w:szCs w:val="32"/>
        </w:rPr>
        <w:t>年根据业务量，广播电视代维代管费收入增加。</w:t>
      </w:r>
      <w:r>
        <w:rPr>
          <w:rFonts w:ascii="仿宋_GB2312" w:eastAsia="仿宋_GB2312" w:hAnsi="宋体" w:hint="eastAsia"/>
          <w:szCs w:val="32"/>
        </w:rPr>
        <w:t xml:space="preserve">               </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（三）上年结转结余增（减）原因</w:t>
      </w:r>
    </w:p>
    <w:p w:rsidR="00B3754B" w:rsidRDefault="00F31EE0">
      <w:pPr>
        <w:tabs>
          <w:tab w:val="center" w:pos="4475"/>
        </w:tabs>
        <w:spacing w:line="600" w:lineRule="exact"/>
        <w:ind w:firstLine="645"/>
        <w:rPr>
          <w:rFonts w:ascii="方正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年上年结转结余</w:t>
      </w:r>
      <w:r>
        <w:rPr>
          <w:rFonts w:ascii="仿宋_GB2312" w:eastAsia="仿宋_GB2312" w:hAnsi="宋体" w:hint="eastAsia"/>
          <w:szCs w:val="32"/>
        </w:rPr>
        <w:t>0</w:t>
      </w:r>
      <w:r>
        <w:rPr>
          <w:rFonts w:ascii="仿宋_GB2312" w:eastAsia="仿宋_GB2312" w:hAnsi="宋体" w:hint="eastAsia"/>
          <w:szCs w:val="32"/>
        </w:rPr>
        <w:t>万元，与上年持平。</w:t>
      </w:r>
    </w:p>
    <w:p w:rsidR="00B3754B" w:rsidRDefault="00F31EE0">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年总支出</w:t>
      </w:r>
      <w:r>
        <w:rPr>
          <w:rFonts w:ascii="仿宋_GB2312" w:eastAsia="仿宋_GB2312" w:hAnsi="宋体" w:hint="eastAsia"/>
          <w:szCs w:val="32"/>
        </w:rPr>
        <w:t>1,781.44</w:t>
      </w:r>
      <w:r>
        <w:rPr>
          <w:rFonts w:ascii="仿宋_GB2312" w:eastAsia="仿宋_GB2312" w:hAnsi="宋体" w:hint="eastAsia"/>
          <w:szCs w:val="32"/>
        </w:rPr>
        <w:t>万元，较上年增长</w:t>
      </w:r>
      <w:r>
        <w:rPr>
          <w:rFonts w:ascii="仿宋_GB2312" w:eastAsia="仿宋_GB2312" w:hAnsi="宋体" w:hint="eastAsia"/>
          <w:szCs w:val="32"/>
        </w:rPr>
        <w:t>148.77</w:t>
      </w:r>
      <w:r>
        <w:rPr>
          <w:rFonts w:ascii="仿宋_GB2312" w:eastAsia="仿宋_GB2312" w:hAnsi="宋体" w:hint="eastAsia"/>
          <w:szCs w:val="32"/>
        </w:rPr>
        <w:t>万元，增长</w:t>
      </w:r>
      <w:r>
        <w:rPr>
          <w:rFonts w:ascii="仿宋_GB2312" w:eastAsia="仿宋_GB2312" w:hAnsi="宋体" w:hint="eastAsia"/>
          <w:szCs w:val="32"/>
        </w:rPr>
        <w:t>9.11%</w:t>
      </w:r>
      <w:r>
        <w:rPr>
          <w:rFonts w:ascii="仿宋_GB2312" w:eastAsia="仿宋_GB2312" w:hAnsi="宋体" w:hint="eastAsia"/>
          <w:szCs w:val="32"/>
        </w:rPr>
        <w:t>。增长的主要原因：一是在职人员增加以及根据自治区人社厅有关文件精神调增基本工资标准，工资总额相应增加，根据工资总额计提的五险二金、工会经费、其他对个人和家庭的补助支出等相应增加；二是根据</w:t>
      </w:r>
      <w:r>
        <w:rPr>
          <w:rFonts w:ascii="仿宋_GB2312" w:eastAsia="仿宋_GB2312" w:hAnsi="宋体" w:hint="eastAsia"/>
          <w:szCs w:val="32"/>
        </w:rPr>
        <w:t>2026</w:t>
      </w:r>
      <w:r>
        <w:rPr>
          <w:rFonts w:ascii="仿宋_GB2312" w:eastAsia="仿宋_GB2312" w:hAnsi="宋体" w:hint="eastAsia"/>
          <w:szCs w:val="32"/>
        </w:rPr>
        <w:t>年工作业务实际，项目预算增加。</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按支出结构分类划分，分为基本支出预算和项目支出预算。</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（一）基本支出预算</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年基本支出</w:t>
      </w:r>
      <w:r>
        <w:rPr>
          <w:rFonts w:ascii="仿宋_GB2312" w:eastAsia="仿宋_GB2312" w:hAnsi="宋体" w:hint="eastAsia"/>
          <w:szCs w:val="32"/>
        </w:rPr>
        <w:t>1,114.66</w:t>
      </w:r>
      <w:r>
        <w:rPr>
          <w:rFonts w:ascii="仿宋_GB2312" w:eastAsia="仿宋_GB2312" w:hAnsi="宋体" w:hint="eastAsia"/>
          <w:szCs w:val="32"/>
        </w:rPr>
        <w:t>万元，占总支出</w:t>
      </w:r>
      <w:r>
        <w:rPr>
          <w:rFonts w:ascii="仿宋_GB2312" w:eastAsia="仿宋_GB2312" w:hAnsi="宋体" w:hint="eastAsia"/>
          <w:szCs w:val="32"/>
        </w:rPr>
        <w:t>62.57%</w:t>
      </w:r>
      <w:r>
        <w:rPr>
          <w:rFonts w:ascii="仿宋_GB2312" w:eastAsia="仿宋_GB2312" w:hAnsi="宋体" w:hint="eastAsia"/>
          <w:szCs w:val="32"/>
        </w:rPr>
        <w:t>，较上年增长</w:t>
      </w:r>
      <w:r>
        <w:rPr>
          <w:rFonts w:ascii="仿宋_GB2312" w:eastAsia="仿宋_GB2312" w:hAnsi="宋体" w:hint="eastAsia"/>
          <w:szCs w:val="32"/>
        </w:rPr>
        <w:t>168.50</w:t>
      </w:r>
      <w:r>
        <w:rPr>
          <w:rFonts w:ascii="仿宋_GB2312" w:eastAsia="仿宋_GB2312" w:hAnsi="宋体" w:hint="eastAsia"/>
          <w:szCs w:val="32"/>
        </w:rPr>
        <w:t>万元</w:t>
      </w:r>
      <w:r>
        <w:rPr>
          <w:rFonts w:ascii="仿宋_GB2312" w:eastAsia="仿宋_GB2312" w:hAnsi="宋体" w:hint="eastAsia"/>
          <w:szCs w:val="32"/>
        </w:rPr>
        <w:t>,</w:t>
      </w:r>
      <w:r>
        <w:rPr>
          <w:rFonts w:ascii="仿宋_GB2312" w:eastAsia="仿宋_GB2312" w:hAnsi="宋体" w:hint="eastAsia"/>
          <w:szCs w:val="32"/>
        </w:rPr>
        <w:t>增长</w:t>
      </w:r>
      <w:r>
        <w:rPr>
          <w:rFonts w:ascii="仿宋_GB2312" w:eastAsia="仿宋_GB2312" w:hAnsi="宋体" w:hint="eastAsia"/>
          <w:szCs w:val="32"/>
        </w:rPr>
        <w:t>17.81%</w:t>
      </w:r>
      <w:r>
        <w:rPr>
          <w:rFonts w:ascii="仿宋_GB2312" w:eastAsia="仿宋_GB2312" w:hAnsi="宋体" w:hint="eastAsia"/>
          <w:szCs w:val="32"/>
        </w:rPr>
        <w:t>。其中：</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lastRenderedPageBreak/>
        <w:t>1.</w:t>
      </w:r>
      <w:r>
        <w:rPr>
          <w:rFonts w:ascii="仿宋_GB2312" w:eastAsia="仿宋_GB2312" w:hAnsi="宋体" w:hint="eastAsia"/>
          <w:szCs w:val="32"/>
        </w:rPr>
        <w:t>工资福利支出</w:t>
      </w:r>
      <w:r>
        <w:rPr>
          <w:rFonts w:ascii="仿宋_GB2312" w:eastAsia="仿宋_GB2312" w:hAnsi="宋体" w:hint="eastAsia"/>
          <w:szCs w:val="32"/>
        </w:rPr>
        <w:t>886.96</w:t>
      </w:r>
      <w:r>
        <w:rPr>
          <w:rFonts w:ascii="仿宋_GB2312" w:eastAsia="仿宋_GB2312" w:hAnsi="宋体" w:hint="eastAsia"/>
          <w:szCs w:val="32"/>
        </w:rPr>
        <w:t>万元，占基本支出预算</w:t>
      </w:r>
      <w:r>
        <w:rPr>
          <w:rFonts w:ascii="仿宋_GB2312" w:eastAsia="仿宋_GB2312" w:hAnsi="宋体" w:hint="eastAsia"/>
          <w:szCs w:val="32"/>
        </w:rPr>
        <w:t>79.57%</w:t>
      </w:r>
      <w:r>
        <w:rPr>
          <w:rFonts w:ascii="仿宋_GB2312" w:eastAsia="仿宋_GB2312" w:hAnsi="宋体" w:hint="eastAsia"/>
          <w:szCs w:val="32"/>
        </w:rPr>
        <w:t>，较上年增长</w:t>
      </w:r>
      <w:r>
        <w:rPr>
          <w:rFonts w:ascii="仿宋_GB2312" w:eastAsia="仿宋_GB2312" w:hAnsi="宋体" w:hint="eastAsia"/>
          <w:szCs w:val="32"/>
        </w:rPr>
        <w:t>101.24</w:t>
      </w:r>
      <w:r>
        <w:rPr>
          <w:rFonts w:ascii="仿宋_GB2312" w:eastAsia="仿宋_GB2312" w:hAnsi="宋体" w:hint="eastAsia"/>
          <w:szCs w:val="32"/>
        </w:rPr>
        <w:t>万元，增长</w:t>
      </w:r>
      <w:r>
        <w:rPr>
          <w:rFonts w:ascii="仿宋_GB2312" w:eastAsia="仿宋_GB2312" w:hAnsi="宋体" w:hint="eastAsia"/>
          <w:szCs w:val="32"/>
        </w:rPr>
        <w:t>12.88%</w:t>
      </w:r>
      <w:r>
        <w:rPr>
          <w:rFonts w:ascii="仿宋_GB2312" w:eastAsia="仿宋_GB2312" w:hAnsi="宋体" w:hint="eastAsia"/>
          <w:szCs w:val="32"/>
        </w:rPr>
        <w:t>。增加的主要原因是在职人员增加以及根据自治区人社厅有关文件精神调增基本工资标准，工资总额相应增加，根据工资总额计提的五险二金等相应增加。</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2.</w:t>
      </w:r>
      <w:r>
        <w:rPr>
          <w:rFonts w:ascii="仿宋_GB2312" w:eastAsia="仿宋_GB2312" w:hAnsi="宋体" w:hint="eastAsia"/>
          <w:szCs w:val="32"/>
        </w:rPr>
        <w:t>商品和服务支出</w:t>
      </w:r>
      <w:r>
        <w:rPr>
          <w:rFonts w:ascii="仿宋_GB2312" w:eastAsia="仿宋_GB2312" w:hAnsi="宋体" w:hint="eastAsia"/>
          <w:szCs w:val="32"/>
        </w:rPr>
        <w:t>150.64</w:t>
      </w:r>
      <w:r>
        <w:rPr>
          <w:rFonts w:ascii="仿宋_GB2312" w:eastAsia="仿宋_GB2312" w:hAnsi="宋体" w:hint="eastAsia"/>
          <w:szCs w:val="32"/>
        </w:rPr>
        <w:t>万元，占基本支出预算</w:t>
      </w:r>
      <w:r>
        <w:rPr>
          <w:rFonts w:ascii="仿宋_GB2312" w:eastAsia="仿宋_GB2312" w:hAnsi="宋体" w:hint="eastAsia"/>
          <w:szCs w:val="32"/>
        </w:rPr>
        <w:t>13.51%</w:t>
      </w:r>
      <w:r>
        <w:rPr>
          <w:rFonts w:ascii="仿宋_GB2312" w:eastAsia="仿宋_GB2312" w:hAnsi="宋体" w:hint="eastAsia"/>
          <w:szCs w:val="32"/>
        </w:rPr>
        <w:t>，较上年增长</w:t>
      </w:r>
      <w:r>
        <w:rPr>
          <w:rFonts w:ascii="仿宋_GB2312" w:eastAsia="仿宋_GB2312" w:hAnsi="宋体" w:hint="eastAsia"/>
          <w:szCs w:val="32"/>
        </w:rPr>
        <w:t>61.64</w:t>
      </w:r>
      <w:r>
        <w:rPr>
          <w:rFonts w:ascii="仿宋_GB2312" w:eastAsia="仿宋_GB2312" w:hAnsi="宋体" w:hint="eastAsia"/>
          <w:szCs w:val="32"/>
        </w:rPr>
        <w:t>万元，增长</w:t>
      </w:r>
      <w:r>
        <w:rPr>
          <w:rFonts w:ascii="仿宋_GB2312" w:eastAsia="仿宋_GB2312" w:hAnsi="宋体" w:hint="eastAsia"/>
          <w:szCs w:val="32"/>
        </w:rPr>
        <w:t>69.26%</w:t>
      </w:r>
      <w:r>
        <w:rPr>
          <w:rFonts w:ascii="仿宋_GB2312" w:eastAsia="仿宋_GB2312" w:hAnsi="宋体" w:hint="eastAsia"/>
          <w:szCs w:val="32"/>
        </w:rPr>
        <w:t>。增加的主要原因是按照自治区财政厅</w:t>
      </w:r>
      <w:r>
        <w:rPr>
          <w:rFonts w:ascii="仿宋_GB2312" w:eastAsia="仿宋_GB2312" w:hAnsi="宋体" w:hint="eastAsia"/>
          <w:szCs w:val="32"/>
        </w:rPr>
        <w:t>2026</w:t>
      </w:r>
      <w:r>
        <w:rPr>
          <w:rFonts w:ascii="仿宋_GB2312" w:eastAsia="仿宋_GB2312" w:hAnsi="宋体" w:hint="eastAsia"/>
          <w:szCs w:val="32"/>
        </w:rPr>
        <w:t>年预算编制要求，</w:t>
      </w:r>
      <w:r w:rsidR="007E5503">
        <w:rPr>
          <w:rFonts w:ascii="仿宋_GB2312" w:eastAsia="仿宋_GB2312" w:hAnsi="宋体" w:hint="eastAsia"/>
          <w:szCs w:val="32"/>
        </w:rPr>
        <w:t>部分项目支出（物业管理费、残疾人就业保障金及党建工会团委妇委会等活动经费）</w:t>
      </w:r>
      <w:r w:rsidR="00C13F8C">
        <w:rPr>
          <w:rFonts w:ascii="仿宋_GB2312" w:eastAsia="仿宋_GB2312" w:hAnsi="宋体" w:hint="eastAsia"/>
          <w:szCs w:val="32"/>
        </w:rPr>
        <w:t>调</w:t>
      </w:r>
      <w:r w:rsidR="007E5503">
        <w:rPr>
          <w:rFonts w:ascii="仿宋_GB2312" w:eastAsia="仿宋_GB2312" w:hAnsi="宋体" w:hint="eastAsia"/>
          <w:szCs w:val="32"/>
        </w:rPr>
        <w:t>到基本支出预算编制</w:t>
      </w:r>
      <w:r w:rsidR="00C90D1A" w:rsidRPr="00C90D1A">
        <w:rPr>
          <w:rFonts w:ascii="仿宋_GB2312" w:eastAsia="仿宋_GB2312" w:hAnsi="宋体" w:hint="eastAsia"/>
          <w:szCs w:val="32"/>
        </w:rPr>
        <w:t>，相关公用经费相应增加</w:t>
      </w:r>
      <w:r>
        <w:rPr>
          <w:rFonts w:ascii="仿宋_GB2312" w:eastAsia="仿宋_GB2312" w:hAnsi="宋体" w:hint="eastAsia"/>
          <w:szCs w:val="32"/>
        </w:rPr>
        <w:t>。</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3.</w:t>
      </w:r>
      <w:r>
        <w:rPr>
          <w:rFonts w:ascii="仿宋_GB2312" w:eastAsia="仿宋_GB2312" w:hAnsi="宋体" w:hint="eastAsia"/>
          <w:szCs w:val="32"/>
        </w:rPr>
        <w:t>个人和家庭补助支出</w:t>
      </w:r>
      <w:r>
        <w:rPr>
          <w:rFonts w:ascii="仿宋_GB2312" w:eastAsia="仿宋_GB2312" w:hAnsi="宋体" w:hint="eastAsia"/>
          <w:szCs w:val="32"/>
        </w:rPr>
        <w:t>77.05</w:t>
      </w:r>
      <w:r>
        <w:rPr>
          <w:rFonts w:ascii="仿宋_GB2312" w:eastAsia="仿宋_GB2312" w:hAnsi="宋体" w:hint="eastAsia"/>
          <w:szCs w:val="32"/>
        </w:rPr>
        <w:t>万元，占基本支出预算</w:t>
      </w:r>
      <w:r>
        <w:rPr>
          <w:rFonts w:ascii="仿宋_GB2312" w:eastAsia="仿宋_GB2312" w:hAnsi="宋体" w:hint="eastAsia"/>
          <w:szCs w:val="32"/>
        </w:rPr>
        <w:t>6.91%</w:t>
      </w:r>
      <w:r>
        <w:rPr>
          <w:rFonts w:ascii="仿宋_GB2312" w:eastAsia="仿宋_GB2312" w:hAnsi="宋体" w:hint="eastAsia"/>
          <w:szCs w:val="32"/>
        </w:rPr>
        <w:t>，较上年增长</w:t>
      </w:r>
      <w:r>
        <w:rPr>
          <w:rFonts w:ascii="仿宋_GB2312" w:eastAsia="仿宋_GB2312" w:hAnsi="宋体" w:hint="eastAsia"/>
          <w:szCs w:val="32"/>
        </w:rPr>
        <w:t>5.60</w:t>
      </w:r>
      <w:r>
        <w:rPr>
          <w:rFonts w:ascii="仿宋_GB2312" w:eastAsia="仿宋_GB2312" w:hAnsi="宋体" w:hint="eastAsia"/>
          <w:szCs w:val="32"/>
        </w:rPr>
        <w:t>万元，增长</w:t>
      </w:r>
      <w:r>
        <w:rPr>
          <w:rFonts w:ascii="仿宋_GB2312" w:eastAsia="仿宋_GB2312" w:hAnsi="宋体" w:hint="eastAsia"/>
          <w:szCs w:val="32"/>
        </w:rPr>
        <w:t>7.84%</w:t>
      </w:r>
      <w:r>
        <w:rPr>
          <w:rFonts w:ascii="仿宋_GB2312" w:eastAsia="仿宋_GB2312" w:hAnsi="宋体" w:hint="eastAsia"/>
          <w:szCs w:val="32"/>
        </w:rPr>
        <w:t>。</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（二）项目支出预算</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年项目支出预算</w:t>
      </w:r>
      <w:r>
        <w:rPr>
          <w:rFonts w:ascii="仿宋_GB2312" w:eastAsia="仿宋_GB2312" w:hAnsi="宋体" w:hint="eastAsia"/>
          <w:szCs w:val="32"/>
        </w:rPr>
        <w:t>666.78</w:t>
      </w:r>
      <w:r>
        <w:rPr>
          <w:rFonts w:ascii="仿宋_GB2312" w:eastAsia="仿宋_GB2312" w:hAnsi="宋体" w:hint="eastAsia"/>
          <w:szCs w:val="32"/>
        </w:rPr>
        <w:t>万元，占总支出</w:t>
      </w:r>
      <w:r>
        <w:rPr>
          <w:rFonts w:ascii="仿宋_GB2312" w:eastAsia="仿宋_GB2312" w:hAnsi="宋体" w:hint="eastAsia"/>
          <w:szCs w:val="32"/>
        </w:rPr>
        <w:t>37.43%</w:t>
      </w:r>
      <w:r>
        <w:rPr>
          <w:rFonts w:ascii="仿宋_GB2312" w:eastAsia="仿宋_GB2312" w:hAnsi="宋体" w:hint="eastAsia"/>
          <w:szCs w:val="32"/>
        </w:rPr>
        <w:t>，较上年减少</w:t>
      </w:r>
      <w:r>
        <w:rPr>
          <w:rFonts w:ascii="仿宋_GB2312" w:eastAsia="仿宋_GB2312" w:hAnsi="宋体" w:hint="eastAsia"/>
          <w:szCs w:val="32"/>
        </w:rPr>
        <w:t>19.73</w:t>
      </w:r>
      <w:r>
        <w:rPr>
          <w:rFonts w:ascii="仿宋_GB2312" w:eastAsia="仿宋_GB2312" w:hAnsi="宋体" w:hint="eastAsia"/>
          <w:szCs w:val="32"/>
        </w:rPr>
        <w:t>万元，减少</w:t>
      </w:r>
      <w:r>
        <w:rPr>
          <w:rFonts w:ascii="仿宋_GB2312" w:eastAsia="仿宋_GB2312" w:hAnsi="宋体" w:hint="eastAsia"/>
          <w:szCs w:val="32"/>
        </w:rPr>
        <w:t>2.87%</w:t>
      </w:r>
      <w:r>
        <w:rPr>
          <w:rFonts w:ascii="仿宋_GB2312" w:eastAsia="仿宋_GB2312" w:hAnsi="宋体" w:hint="eastAsia"/>
          <w:szCs w:val="32"/>
        </w:rPr>
        <w:t>。减少的主要原因是按照自治区财政厅</w:t>
      </w:r>
      <w:r>
        <w:rPr>
          <w:rFonts w:ascii="仿宋_GB2312" w:eastAsia="仿宋_GB2312" w:hAnsi="宋体" w:hint="eastAsia"/>
          <w:szCs w:val="32"/>
        </w:rPr>
        <w:t>2026</w:t>
      </w:r>
      <w:r>
        <w:rPr>
          <w:rFonts w:ascii="仿宋_GB2312" w:eastAsia="仿宋_GB2312" w:hAnsi="宋体" w:hint="eastAsia"/>
          <w:szCs w:val="32"/>
        </w:rPr>
        <w:t>年预算编制要求，原项目支出预算安排的物业管理费、残疾人就业保障金及党建工会团委妇委会等活动经费纳入基本支出预算编制。</w:t>
      </w:r>
    </w:p>
    <w:p w:rsidR="00B3754B" w:rsidRDefault="00F31EE0">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年无政府性基金预算。</w:t>
      </w:r>
    </w:p>
    <w:p w:rsidR="00B3754B" w:rsidRDefault="00F31EE0">
      <w:pPr>
        <w:tabs>
          <w:tab w:val="center" w:pos="4475"/>
        </w:tabs>
        <w:spacing w:line="560" w:lineRule="exact"/>
        <w:ind w:firstLine="645"/>
        <w:rPr>
          <w:rFonts w:ascii="黑体" w:eastAsia="黑体"/>
          <w:szCs w:val="32"/>
        </w:rPr>
      </w:pPr>
      <w:r>
        <w:rPr>
          <w:rFonts w:ascii="黑体" w:eastAsia="黑体" w:hint="eastAsia"/>
          <w:szCs w:val="32"/>
        </w:rPr>
        <w:t>五、国有资本经营预算支出情况说明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lastRenderedPageBreak/>
        <w:t>我单位</w:t>
      </w:r>
      <w:r>
        <w:rPr>
          <w:rFonts w:ascii="仿宋_GB2312" w:eastAsia="仿宋_GB2312" w:hAnsi="宋体" w:hint="eastAsia"/>
          <w:szCs w:val="32"/>
        </w:rPr>
        <w:t>2026</w:t>
      </w:r>
      <w:r>
        <w:rPr>
          <w:rFonts w:ascii="仿宋_GB2312" w:eastAsia="仿宋_GB2312" w:hAnsi="宋体" w:hint="eastAsia"/>
          <w:szCs w:val="32"/>
        </w:rPr>
        <w:t>年</w:t>
      </w:r>
      <w:r>
        <w:rPr>
          <w:rFonts w:ascii="仿宋_GB2312" w:eastAsia="仿宋_GB2312" w:hAnsi="宋体" w:hint="eastAsia"/>
          <w:szCs w:val="32"/>
        </w:rPr>
        <w:t>无国有资本经营预算。</w:t>
      </w:r>
    </w:p>
    <w:p w:rsidR="00B3754B" w:rsidRDefault="00F31EE0">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年一般公共预算安排的“三公”经费支出预算</w:t>
      </w:r>
      <w:r>
        <w:rPr>
          <w:rFonts w:ascii="仿宋_GB2312" w:eastAsia="仿宋_GB2312" w:hAnsi="宋体" w:hint="eastAsia"/>
          <w:szCs w:val="32"/>
        </w:rPr>
        <w:t>17.97</w:t>
      </w:r>
      <w:r>
        <w:rPr>
          <w:rFonts w:ascii="仿宋_GB2312" w:eastAsia="仿宋_GB2312" w:hAnsi="宋体" w:hint="eastAsia"/>
          <w:szCs w:val="32"/>
        </w:rPr>
        <w:t>万元，与上年持平，具体如下：</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（一）因公出国（境）费</w:t>
      </w:r>
      <w:r>
        <w:rPr>
          <w:rFonts w:ascii="仿宋_GB2312" w:eastAsia="仿宋_GB2312" w:hAnsi="宋体" w:hint="eastAsia"/>
          <w:szCs w:val="32"/>
        </w:rPr>
        <w:t>2026</w:t>
      </w:r>
      <w:r>
        <w:rPr>
          <w:rFonts w:ascii="仿宋_GB2312" w:eastAsia="仿宋_GB2312" w:hAnsi="宋体" w:hint="eastAsia"/>
          <w:szCs w:val="32"/>
        </w:rPr>
        <w:t>年预算安排</w:t>
      </w:r>
      <w:r>
        <w:rPr>
          <w:rFonts w:ascii="仿宋_GB2312" w:eastAsia="仿宋_GB2312" w:hAnsi="宋体" w:hint="eastAsia"/>
          <w:szCs w:val="32"/>
        </w:rPr>
        <w:t>0</w:t>
      </w:r>
      <w:r>
        <w:rPr>
          <w:rFonts w:ascii="仿宋_GB2312" w:eastAsia="仿宋_GB2312" w:hAnsi="宋体" w:hint="eastAsia"/>
          <w:szCs w:val="32"/>
        </w:rPr>
        <w:t>万元，与上年持平。</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（二）公务用车购置及运行费</w:t>
      </w:r>
      <w:r>
        <w:rPr>
          <w:rFonts w:ascii="仿宋_GB2312" w:eastAsia="仿宋_GB2312" w:hAnsi="宋体" w:hint="eastAsia"/>
          <w:szCs w:val="32"/>
        </w:rPr>
        <w:t>2026</w:t>
      </w:r>
      <w:r>
        <w:rPr>
          <w:rFonts w:ascii="仿宋_GB2312" w:eastAsia="仿宋_GB2312" w:hAnsi="宋体" w:hint="eastAsia"/>
          <w:szCs w:val="32"/>
        </w:rPr>
        <w:t>年预算安排</w:t>
      </w:r>
      <w:r>
        <w:rPr>
          <w:rFonts w:ascii="仿宋_GB2312" w:eastAsia="仿宋_GB2312" w:hAnsi="宋体" w:hint="eastAsia"/>
          <w:szCs w:val="32"/>
        </w:rPr>
        <w:t>17.46</w:t>
      </w:r>
      <w:r>
        <w:rPr>
          <w:rFonts w:ascii="仿宋_GB2312" w:eastAsia="仿宋_GB2312" w:hAnsi="宋体" w:hint="eastAsia"/>
          <w:szCs w:val="32"/>
        </w:rPr>
        <w:t>万元，与上年持平，其中：</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1.</w:t>
      </w:r>
      <w:r>
        <w:rPr>
          <w:rFonts w:ascii="仿宋_GB2312" w:eastAsia="仿宋_GB2312" w:hAnsi="宋体" w:hint="eastAsia"/>
          <w:szCs w:val="32"/>
        </w:rPr>
        <w:t>公务用车购置费</w:t>
      </w:r>
      <w:r>
        <w:rPr>
          <w:rFonts w:ascii="仿宋_GB2312" w:eastAsia="仿宋_GB2312" w:hAnsi="宋体" w:hint="eastAsia"/>
          <w:szCs w:val="32"/>
        </w:rPr>
        <w:t>2026</w:t>
      </w:r>
      <w:r>
        <w:rPr>
          <w:rFonts w:ascii="仿宋_GB2312" w:eastAsia="仿宋_GB2312" w:hAnsi="宋体" w:hint="eastAsia"/>
          <w:szCs w:val="32"/>
        </w:rPr>
        <w:t>年预算安排</w:t>
      </w:r>
      <w:r>
        <w:rPr>
          <w:rFonts w:ascii="仿宋_GB2312" w:eastAsia="仿宋_GB2312" w:hAnsi="宋体" w:hint="eastAsia"/>
          <w:szCs w:val="32"/>
        </w:rPr>
        <w:t>0</w:t>
      </w:r>
      <w:r>
        <w:rPr>
          <w:rFonts w:ascii="仿宋_GB2312" w:eastAsia="仿宋_GB2312" w:hAnsi="宋体" w:hint="eastAsia"/>
          <w:szCs w:val="32"/>
        </w:rPr>
        <w:t>万元，与上年持平。</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2.</w:t>
      </w:r>
      <w:r>
        <w:rPr>
          <w:rFonts w:ascii="仿宋_GB2312" w:eastAsia="仿宋_GB2312" w:hAnsi="宋体" w:hint="eastAsia"/>
          <w:szCs w:val="32"/>
        </w:rPr>
        <w:t>公务用车运行维护费</w:t>
      </w:r>
      <w:r>
        <w:rPr>
          <w:rFonts w:ascii="仿宋_GB2312" w:eastAsia="仿宋_GB2312" w:hAnsi="宋体" w:hint="eastAsia"/>
          <w:szCs w:val="32"/>
        </w:rPr>
        <w:t>2026</w:t>
      </w:r>
      <w:r>
        <w:rPr>
          <w:rFonts w:ascii="仿宋_GB2312" w:eastAsia="仿宋_GB2312" w:hAnsi="宋体" w:hint="eastAsia"/>
          <w:szCs w:val="32"/>
        </w:rPr>
        <w:t>年预算安排</w:t>
      </w:r>
      <w:r>
        <w:rPr>
          <w:rFonts w:ascii="仿宋_GB2312" w:eastAsia="仿宋_GB2312" w:hAnsi="宋体" w:hint="eastAsia"/>
          <w:szCs w:val="32"/>
        </w:rPr>
        <w:t>17.46</w:t>
      </w:r>
      <w:r>
        <w:rPr>
          <w:rFonts w:ascii="仿宋_GB2312" w:eastAsia="仿宋_GB2312" w:hAnsi="宋体" w:hint="eastAsia"/>
          <w:szCs w:val="32"/>
        </w:rPr>
        <w:t>万元，与上年持平。</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（三）公务接待费</w:t>
      </w:r>
      <w:r>
        <w:rPr>
          <w:rFonts w:ascii="仿宋_GB2312" w:eastAsia="仿宋_GB2312" w:hAnsi="宋体" w:hint="eastAsia"/>
          <w:szCs w:val="32"/>
        </w:rPr>
        <w:t>2026</w:t>
      </w:r>
      <w:r>
        <w:rPr>
          <w:rFonts w:ascii="仿宋_GB2312" w:eastAsia="仿宋_GB2312" w:hAnsi="宋体" w:hint="eastAsia"/>
          <w:szCs w:val="32"/>
        </w:rPr>
        <w:t>年预算安排</w:t>
      </w:r>
      <w:r>
        <w:rPr>
          <w:rFonts w:ascii="仿宋_GB2312" w:eastAsia="仿宋_GB2312" w:hAnsi="宋体" w:hint="eastAsia"/>
          <w:szCs w:val="32"/>
        </w:rPr>
        <w:t>0.51</w:t>
      </w:r>
      <w:r>
        <w:rPr>
          <w:rFonts w:ascii="仿宋_GB2312" w:eastAsia="仿宋_GB2312" w:hAnsi="宋体" w:hint="eastAsia"/>
          <w:szCs w:val="32"/>
        </w:rPr>
        <w:t>万元，与上年持平。</w:t>
      </w:r>
    </w:p>
    <w:p w:rsidR="00B3754B" w:rsidRDefault="00F31EE0">
      <w:pPr>
        <w:tabs>
          <w:tab w:val="center" w:pos="4475"/>
        </w:tabs>
        <w:spacing w:line="560" w:lineRule="exact"/>
        <w:ind w:firstLine="645"/>
        <w:rPr>
          <w:rFonts w:ascii="方正楷体_GB2312" w:eastAsia="方正楷体_GB2312" w:hAnsi="方正楷体_GB2312" w:cs="方正楷体_GB2312"/>
          <w:szCs w:val="32"/>
        </w:rPr>
      </w:pPr>
      <w:r>
        <w:rPr>
          <w:rFonts w:ascii="黑体" w:eastAsia="黑体" w:hint="eastAsia"/>
          <w:szCs w:val="32"/>
        </w:rPr>
        <w:t>七、</w:t>
      </w:r>
      <w:r>
        <w:rPr>
          <w:rFonts w:ascii="黑体" w:eastAsia="黑体" w:hAnsi="黑体" w:cs="黑体" w:hint="eastAsia"/>
          <w:szCs w:val="32"/>
        </w:rPr>
        <w:t>事业单位相关运行经费安排情况说明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事业单位相关运行经费主要是指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年一般公共预算拨款基本支出中的事业单位相关运行经费为</w:t>
      </w:r>
      <w:r>
        <w:rPr>
          <w:rFonts w:ascii="仿宋_GB2312" w:eastAsia="仿宋_GB2312" w:hAnsi="宋体" w:hint="eastAsia"/>
          <w:szCs w:val="32"/>
        </w:rPr>
        <w:t>148.54</w:t>
      </w:r>
      <w:r>
        <w:rPr>
          <w:rFonts w:ascii="仿宋_GB2312" w:eastAsia="仿宋_GB2312" w:hAnsi="宋体" w:hint="eastAsia"/>
          <w:szCs w:val="32"/>
        </w:rPr>
        <w:t>万元，均为商品和服务支出，较上年增加</w:t>
      </w:r>
      <w:r>
        <w:rPr>
          <w:rFonts w:ascii="仿宋_GB2312" w:eastAsia="仿宋_GB2312" w:hAnsi="宋体" w:hint="eastAsia"/>
          <w:szCs w:val="32"/>
        </w:rPr>
        <w:lastRenderedPageBreak/>
        <w:t>59.54</w:t>
      </w:r>
      <w:r>
        <w:rPr>
          <w:rFonts w:ascii="仿宋_GB2312" w:eastAsia="仿宋_GB2312" w:hAnsi="宋体" w:hint="eastAsia"/>
          <w:szCs w:val="32"/>
        </w:rPr>
        <w:t>万元，增长</w:t>
      </w:r>
      <w:r>
        <w:rPr>
          <w:rFonts w:ascii="仿宋_GB2312" w:eastAsia="仿宋_GB2312" w:hAnsi="宋体" w:hint="eastAsia"/>
          <w:szCs w:val="32"/>
        </w:rPr>
        <w:t>66.90%</w:t>
      </w:r>
      <w:r>
        <w:rPr>
          <w:rFonts w:ascii="仿宋_GB2312" w:eastAsia="仿宋_GB2312" w:hAnsi="宋体" w:hint="eastAsia"/>
          <w:szCs w:val="32"/>
        </w:rPr>
        <w:t>，增加的主要原因：一是按照自治区财政厅</w:t>
      </w:r>
      <w:r>
        <w:rPr>
          <w:rFonts w:ascii="仿宋_GB2312" w:eastAsia="仿宋_GB2312" w:hAnsi="宋体" w:hint="eastAsia"/>
          <w:szCs w:val="32"/>
        </w:rPr>
        <w:t>2026</w:t>
      </w:r>
      <w:r>
        <w:rPr>
          <w:rFonts w:ascii="仿宋_GB2312" w:eastAsia="仿宋_GB2312" w:hAnsi="宋体" w:hint="eastAsia"/>
          <w:szCs w:val="32"/>
        </w:rPr>
        <w:t>年预算编制要求，</w:t>
      </w:r>
      <w:r w:rsidR="008E5808">
        <w:rPr>
          <w:rFonts w:ascii="仿宋_GB2312" w:eastAsia="仿宋_GB2312" w:hAnsi="宋体" w:hint="eastAsia"/>
          <w:szCs w:val="32"/>
        </w:rPr>
        <w:t>部分项目支出（物业管理费、残疾人就业保障金及党建工会团委妇委会等活动经费）调到基本支出预算编制</w:t>
      </w:r>
      <w:r w:rsidR="00E807CE">
        <w:rPr>
          <w:rFonts w:ascii="仿宋_GB2312" w:eastAsia="仿宋_GB2312" w:hAnsi="宋体" w:hint="eastAsia"/>
          <w:szCs w:val="32"/>
        </w:rPr>
        <w:t>，相关运行经费增加</w:t>
      </w:r>
      <w:r>
        <w:rPr>
          <w:rFonts w:ascii="仿宋_GB2312" w:eastAsia="仿宋_GB2312" w:hAnsi="宋体" w:hint="eastAsia"/>
          <w:szCs w:val="32"/>
        </w:rPr>
        <w:t>；二是在职人员较上年增加以及根据自治区人社厅有关文件精神调增基本工资标准，工资总额相应增加，根据工资总额计提的工会经费等相应增加。</w:t>
      </w:r>
    </w:p>
    <w:p w:rsidR="00B3754B" w:rsidRDefault="00F31EE0">
      <w:pPr>
        <w:tabs>
          <w:tab w:val="center" w:pos="4475"/>
        </w:tabs>
        <w:spacing w:line="560" w:lineRule="exact"/>
        <w:ind w:firstLine="645"/>
        <w:rPr>
          <w:rFonts w:ascii="黑体" w:eastAsia="黑体" w:hAnsi="黑体" w:cs="黑体"/>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我单位</w:t>
      </w:r>
      <w:r>
        <w:rPr>
          <w:rFonts w:ascii="仿宋_GB2312" w:eastAsia="仿宋_GB2312" w:hAnsi="宋体" w:hint="eastAsia"/>
          <w:szCs w:val="32"/>
        </w:rPr>
        <w:t>2026</w:t>
      </w:r>
      <w:r>
        <w:rPr>
          <w:rFonts w:ascii="仿宋_GB2312" w:eastAsia="仿宋_GB2312" w:hAnsi="宋体" w:hint="eastAsia"/>
          <w:szCs w:val="32"/>
        </w:rPr>
        <w:t>年政府采购预算总金额</w:t>
      </w:r>
      <w:r>
        <w:rPr>
          <w:rFonts w:ascii="仿宋_GB2312" w:eastAsia="仿宋_GB2312" w:hAnsi="宋体" w:hint="eastAsia"/>
          <w:szCs w:val="32"/>
        </w:rPr>
        <w:t>92.93</w:t>
      </w:r>
      <w:r>
        <w:rPr>
          <w:rFonts w:ascii="仿宋_GB2312" w:eastAsia="仿宋_GB2312" w:hAnsi="宋体" w:hint="eastAsia"/>
          <w:szCs w:val="32"/>
        </w:rPr>
        <w:t>万元，较上年增长</w:t>
      </w:r>
      <w:r>
        <w:rPr>
          <w:rFonts w:ascii="仿宋_GB2312" w:eastAsia="仿宋_GB2312" w:hAnsi="宋体" w:hint="eastAsia"/>
          <w:szCs w:val="32"/>
        </w:rPr>
        <w:t>25.17</w:t>
      </w:r>
      <w:r>
        <w:rPr>
          <w:rFonts w:ascii="仿宋_GB2312" w:eastAsia="仿宋_GB2312" w:hAnsi="宋体" w:hint="eastAsia"/>
          <w:szCs w:val="32"/>
        </w:rPr>
        <w:t>万元，增长</w:t>
      </w:r>
      <w:r>
        <w:rPr>
          <w:rFonts w:ascii="仿宋_GB2312" w:eastAsia="仿宋_GB2312" w:hAnsi="宋体" w:hint="eastAsia"/>
          <w:szCs w:val="32"/>
        </w:rPr>
        <w:t>37.15%</w:t>
      </w:r>
      <w:r>
        <w:rPr>
          <w:rFonts w:ascii="仿宋_GB2312" w:eastAsia="仿宋_GB2312" w:hAnsi="宋体" w:hint="eastAsia"/>
          <w:szCs w:val="32"/>
        </w:rPr>
        <w:t>，增长的原因是增长了物业管理服务。其中：政府集中采购预算</w:t>
      </w:r>
      <w:r>
        <w:rPr>
          <w:rFonts w:ascii="仿宋_GB2312" w:eastAsia="仿宋_GB2312" w:hAnsi="宋体" w:hint="eastAsia"/>
          <w:szCs w:val="32"/>
        </w:rPr>
        <w:t>92.93</w:t>
      </w:r>
      <w:r>
        <w:rPr>
          <w:rFonts w:ascii="仿宋_GB2312" w:eastAsia="仿宋_GB2312" w:hAnsi="宋体" w:hint="eastAsia"/>
          <w:szCs w:val="32"/>
        </w:rPr>
        <w:t>万元，占政府采购预算</w:t>
      </w:r>
      <w:r>
        <w:rPr>
          <w:rFonts w:ascii="仿宋_GB2312" w:eastAsia="仿宋_GB2312" w:hAnsi="宋体" w:hint="eastAsia"/>
          <w:szCs w:val="32"/>
        </w:rPr>
        <w:t>100%</w:t>
      </w:r>
      <w:r>
        <w:rPr>
          <w:rFonts w:ascii="仿宋_GB2312" w:eastAsia="仿宋_GB2312" w:hAnsi="宋体" w:hint="eastAsia"/>
          <w:szCs w:val="32"/>
        </w:rPr>
        <w:t>，较上年增长</w:t>
      </w:r>
      <w:r>
        <w:rPr>
          <w:rFonts w:ascii="仿宋_GB2312" w:eastAsia="仿宋_GB2312" w:hAnsi="宋体" w:hint="eastAsia"/>
          <w:szCs w:val="32"/>
        </w:rPr>
        <w:t>26.72</w:t>
      </w:r>
      <w:r>
        <w:rPr>
          <w:rFonts w:ascii="仿宋_GB2312" w:eastAsia="仿宋_GB2312" w:hAnsi="宋体" w:hint="eastAsia"/>
          <w:szCs w:val="32"/>
        </w:rPr>
        <w:t>万元，增长</w:t>
      </w:r>
      <w:r>
        <w:rPr>
          <w:rFonts w:ascii="仿宋_GB2312" w:eastAsia="仿宋_GB2312" w:hAnsi="宋体" w:hint="eastAsia"/>
          <w:szCs w:val="32"/>
        </w:rPr>
        <w:t>40.36%</w:t>
      </w:r>
      <w:r>
        <w:rPr>
          <w:rFonts w:ascii="仿宋_GB2312" w:eastAsia="仿宋_GB2312" w:hAnsi="宋体" w:hint="eastAsia"/>
          <w:szCs w:val="32"/>
        </w:rPr>
        <w:t>；分散采购预算</w:t>
      </w:r>
      <w:r>
        <w:rPr>
          <w:rFonts w:ascii="仿宋_GB2312" w:eastAsia="仿宋_GB2312" w:hAnsi="宋体" w:hint="eastAsia"/>
          <w:szCs w:val="32"/>
        </w:rPr>
        <w:t>0</w:t>
      </w:r>
      <w:r>
        <w:rPr>
          <w:rFonts w:ascii="仿宋_GB2312" w:eastAsia="仿宋_GB2312" w:hAnsi="宋体" w:hint="eastAsia"/>
          <w:szCs w:val="32"/>
        </w:rPr>
        <w:t>万元，占政府采购预算</w:t>
      </w:r>
      <w:r>
        <w:rPr>
          <w:rFonts w:ascii="仿宋_GB2312" w:eastAsia="仿宋_GB2312" w:hAnsi="宋体" w:hint="eastAsia"/>
          <w:szCs w:val="32"/>
        </w:rPr>
        <w:t>0%</w:t>
      </w:r>
      <w:r>
        <w:rPr>
          <w:rFonts w:ascii="仿宋_GB2312" w:eastAsia="仿宋_GB2312" w:hAnsi="宋体" w:hint="eastAsia"/>
          <w:szCs w:val="32"/>
        </w:rPr>
        <w:t>，较上年减少</w:t>
      </w:r>
      <w:r>
        <w:rPr>
          <w:rFonts w:ascii="仿宋_GB2312" w:eastAsia="仿宋_GB2312" w:hAnsi="宋体" w:hint="eastAsia"/>
          <w:szCs w:val="32"/>
        </w:rPr>
        <w:t>1.55</w:t>
      </w:r>
      <w:r>
        <w:rPr>
          <w:rFonts w:ascii="仿宋_GB2312" w:eastAsia="仿宋_GB2312" w:hAnsi="宋体" w:hint="eastAsia"/>
          <w:szCs w:val="32"/>
        </w:rPr>
        <w:t>万元，下降</w:t>
      </w:r>
      <w:r>
        <w:rPr>
          <w:rFonts w:ascii="仿宋_GB2312" w:eastAsia="仿宋_GB2312" w:hAnsi="宋体" w:hint="eastAsia"/>
          <w:szCs w:val="32"/>
        </w:rPr>
        <w:t>100%</w:t>
      </w:r>
      <w:r>
        <w:rPr>
          <w:rFonts w:ascii="仿宋_GB2312" w:eastAsia="仿宋_GB2312" w:hAnsi="宋体" w:hint="eastAsia"/>
          <w:szCs w:val="32"/>
        </w:rPr>
        <w:t>。</w:t>
      </w:r>
    </w:p>
    <w:p w:rsidR="00B3754B" w:rsidRDefault="00F31EE0">
      <w:pPr>
        <w:tabs>
          <w:tab w:val="center" w:pos="4475"/>
        </w:tabs>
        <w:spacing w:line="600" w:lineRule="exact"/>
        <w:ind w:firstLine="645"/>
        <w:rPr>
          <w:rFonts w:ascii="方正仿宋_GB2312" w:hAnsi="宋体"/>
          <w:szCs w:val="32"/>
        </w:rPr>
      </w:pPr>
      <w:r>
        <w:rPr>
          <w:rFonts w:ascii="仿宋_GB2312" w:eastAsia="仿宋_GB2312" w:hAnsi="宋体" w:hint="eastAsia"/>
          <w:szCs w:val="32"/>
        </w:rPr>
        <w:t>按政府采购项目类型分为货物类采购、工程类采购和服务类采购三种类型。其中：货物采购</w:t>
      </w:r>
      <w:r>
        <w:rPr>
          <w:rFonts w:ascii="仿宋_GB2312" w:eastAsia="仿宋_GB2312" w:hAnsi="宋体" w:hint="eastAsia"/>
          <w:szCs w:val="32"/>
        </w:rPr>
        <w:t>28.75</w:t>
      </w:r>
      <w:r>
        <w:rPr>
          <w:rFonts w:ascii="仿宋_GB2312" w:eastAsia="仿宋_GB2312" w:hAnsi="宋体" w:hint="eastAsia"/>
          <w:szCs w:val="32"/>
        </w:rPr>
        <w:t>万元，占政府采购预算</w:t>
      </w:r>
      <w:r>
        <w:rPr>
          <w:rFonts w:ascii="仿宋_GB2312" w:eastAsia="仿宋_GB2312" w:hAnsi="宋体" w:hint="eastAsia"/>
          <w:szCs w:val="32"/>
        </w:rPr>
        <w:t>30.94%</w:t>
      </w:r>
      <w:r>
        <w:rPr>
          <w:rFonts w:ascii="仿宋_GB2312" w:eastAsia="仿宋_GB2312" w:hAnsi="宋体" w:hint="eastAsia"/>
          <w:szCs w:val="32"/>
        </w:rPr>
        <w:t>；工程采购</w:t>
      </w:r>
      <w:r>
        <w:rPr>
          <w:rFonts w:ascii="仿宋_GB2312" w:eastAsia="仿宋_GB2312" w:hAnsi="宋体" w:hint="eastAsia"/>
          <w:szCs w:val="32"/>
        </w:rPr>
        <w:t>0</w:t>
      </w:r>
      <w:r>
        <w:rPr>
          <w:rFonts w:ascii="仿宋_GB2312" w:eastAsia="仿宋_GB2312" w:hAnsi="宋体" w:hint="eastAsia"/>
          <w:szCs w:val="32"/>
        </w:rPr>
        <w:t>万元，占政府采购预算</w:t>
      </w:r>
      <w:r>
        <w:rPr>
          <w:rFonts w:ascii="仿宋_GB2312" w:eastAsia="仿宋_GB2312" w:hAnsi="宋体" w:hint="eastAsia"/>
          <w:szCs w:val="32"/>
        </w:rPr>
        <w:t>0%</w:t>
      </w:r>
      <w:r>
        <w:rPr>
          <w:rFonts w:ascii="仿宋_GB2312" w:eastAsia="仿宋_GB2312" w:hAnsi="宋体" w:hint="eastAsia"/>
          <w:szCs w:val="32"/>
        </w:rPr>
        <w:t>；服务采购</w:t>
      </w:r>
      <w:r>
        <w:rPr>
          <w:rFonts w:ascii="仿宋_GB2312" w:eastAsia="仿宋_GB2312" w:hAnsi="宋体" w:hint="eastAsia"/>
          <w:szCs w:val="32"/>
        </w:rPr>
        <w:t>64.18</w:t>
      </w:r>
      <w:r>
        <w:rPr>
          <w:rFonts w:ascii="仿宋_GB2312" w:eastAsia="仿宋_GB2312" w:hAnsi="宋体" w:hint="eastAsia"/>
          <w:szCs w:val="32"/>
        </w:rPr>
        <w:t>万元，占政府采购预算</w:t>
      </w:r>
      <w:r>
        <w:rPr>
          <w:rFonts w:ascii="仿宋_GB2312" w:eastAsia="仿宋_GB2312" w:hAnsi="宋体" w:hint="eastAsia"/>
          <w:szCs w:val="32"/>
        </w:rPr>
        <w:t>69.06%</w:t>
      </w:r>
      <w:r>
        <w:rPr>
          <w:rFonts w:ascii="仿宋_GB2312" w:eastAsia="仿宋_GB2312" w:hAnsi="宋体" w:hint="eastAsia"/>
          <w:szCs w:val="32"/>
        </w:rPr>
        <w:t>。采购限额标准以上，</w:t>
      </w:r>
      <w:r>
        <w:rPr>
          <w:rFonts w:ascii="仿宋_GB2312" w:eastAsia="仿宋_GB2312" w:hAnsi="宋体" w:hint="eastAsia"/>
          <w:szCs w:val="32"/>
        </w:rPr>
        <w:t>200</w:t>
      </w:r>
      <w:r>
        <w:rPr>
          <w:rFonts w:ascii="仿宋_GB2312" w:eastAsia="仿宋_GB2312" w:hAnsi="宋体" w:hint="eastAsia"/>
          <w:szCs w:val="32"/>
        </w:rPr>
        <w:t>万元以下的货物和服务采购项目、</w:t>
      </w:r>
      <w:r>
        <w:rPr>
          <w:rFonts w:ascii="仿宋_GB2312" w:eastAsia="仿宋_GB2312" w:hAnsi="宋体" w:hint="eastAsia"/>
          <w:szCs w:val="32"/>
        </w:rPr>
        <w:t>400</w:t>
      </w:r>
      <w:r>
        <w:rPr>
          <w:rFonts w:ascii="仿宋_GB2312" w:eastAsia="仿宋_GB2312" w:hAnsi="宋体" w:hint="eastAsia"/>
          <w:szCs w:val="32"/>
        </w:rPr>
        <w:t>万元以下的工程采购项目，适宜由中小企业提供的采购预算</w:t>
      </w:r>
      <w:r>
        <w:rPr>
          <w:rFonts w:ascii="仿宋_GB2312" w:eastAsia="仿宋_GB2312" w:hAnsi="宋体" w:hint="eastAsia"/>
          <w:szCs w:val="32"/>
        </w:rPr>
        <w:t>0</w:t>
      </w:r>
      <w:r>
        <w:rPr>
          <w:rFonts w:ascii="仿宋_GB2312" w:eastAsia="仿宋_GB2312" w:hAnsi="宋体" w:hint="eastAsia"/>
          <w:szCs w:val="32"/>
        </w:rPr>
        <w:t>万元，面向中小企业预留金额</w:t>
      </w:r>
      <w:r>
        <w:rPr>
          <w:rFonts w:ascii="仿宋_GB2312" w:eastAsia="仿宋_GB2312" w:hAnsi="宋体" w:hint="eastAsia"/>
          <w:szCs w:val="32"/>
        </w:rPr>
        <w:t>0</w:t>
      </w:r>
      <w:r>
        <w:rPr>
          <w:rFonts w:ascii="仿宋_GB2312" w:eastAsia="仿宋_GB2312" w:hAnsi="宋体" w:hint="eastAsia"/>
          <w:szCs w:val="32"/>
        </w:rPr>
        <w:t>万元；超过</w:t>
      </w:r>
      <w:r>
        <w:rPr>
          <w:rFonts w:ascii="仿宋_GB2312" w:eastAsia="仿宋_GB2312" w:hAnsi="宋体" w:hint="eastAsia"/>
          <w:szCs w:val="32"/>
        </w:rPr>
        <w:t>200</w:t>
      </w:r>
      <w:r>
        <w:rPr>
          <w:rFonts w:ascii="仿宋_GB2312" w:eastAsia="仿宋_GB2312" w:hAnsi="宋体" w:hint="eastAsia"/>
          <w:szCs w:val="32"/>
        </w:rPr>
        <w:t>万元的货物和服务采购项目、超过</w:t>
      </w:r>
      <w:r>
        <w:rPr>
          <w:rFonts w:ascii="仿宋_GB2312" w:eastAsia="仿宋_GB2312" w:hAnsi="宋体" w:hint="eastAsia"/>
          <w:szCs w:val="32"/>
        </w:rPr>
        <w:t>400</w:t>
      </w:r>
      <w:r>
        <w:rPr>
          <w:rFonts w:ascii="仿宋_GB2312" w:eastAsia="仿宋_GB2312" w:hAnsi="宋体" w:hint="eastAsia"/>
          <w:szCs w:val="32"/>
        </w:rPr>
        <w:t>万元的工程采购项目中适宜由中小企业提供的采购预算</w:t>
      </w:r>
      <w:r>
        <w:rPr>
          <w:rFonts w:ascii="仿宋_GB2312" w:eastAsia="仿宋_GB2312" w:hAnsi="宋体" w:hint="eastAsia"/>
          <w:szCs w:val="32"/>
        </w:rPr>
        <w:t>0</w:t>
      </w:r>
      <w:r>
        <w:rPr>
          <w:rFonts w:ascii="仿宋_GB2312" w:eastAsia="仿宋_GB2312" w:hAnsi="宋体" w:hint="eastAsia"/>
          <w:szCs w:val="32"/>
        </w:rPr>
        <w:t>万元，预留</w:t>
      </w:r>
      <w:r>
        <w:rPr>
          <w:rFonts w:ascii="仿宋_GB2312" w:eastAsia="仿宋_GB2312" w:hAnsi="宋体" w:hint="eastAsia"/>
          <w:szCs w:val="32"/>
        </w:rPr>
        <w:t>0</w:t>
      </w:r>
      <w:r>
        <w:rPr>
          <w:rFonts w:ascii="仿宋_GB2312" w:eastAsia="仿宋_GB2312" w:hAnsi="宋体" w:hint="eastAsia"/>
          <w:szCs w:val="32"/>
        </w:rPr>
        <w:t>万</w:t>
      </w:r>
      <w:r>
        <w:rPr>
          <w:rFonts w:ascii="仿宋_GB2312" w:eastAsia="仿宋_GB2312" w:hAnsi="宋体" w:hint="eastAsia"/>
          <w:szCs w:val="32"/>
        </w:rPr>
        <w:t>元专门面向中小企业采购，其中：预留</w:t>
      </w:r>
      <w:r>
        <w:rPr>
          <w:rFonts w:ascii="仿宋_GB2312" w:eastAsia="仿宋_GB2312" w:hAnsi="宋体" w:hint="eastAsia"/>
          <w:szCs w:val="32"/>
        </w:rPr>
        <w:t>0</w:t>
      </w:r>
      <w:r>
        <w:rPr>
          <w:rFonts w:ascii="仿宋_GB2312" w:eastAsia="仿宋_GB2312" w:hAnsi="宋体" w:hint="eastAsia"/>
          <w:szCs w:val="32"/>
        </w:rPr>
        <w:t>万元面向小微企</w:t>
      </w:r>
      <w:r>
        <w:rPr>
          <w:rFonts w:ascii="仿宋_GB2312" w:eastAsia="仿宋_GB2312" w:hAnsi="宋体" w:hint="eastAsia"/>
          <w:szCs w:val="32"/>
        </w:rPr>
        <w:lastRenderedPageBreak/>
        <w:t>业采购。</w:t>
      </w:r>
    </w:p>
    <w:p w:rsidR="00B3754B" w:rsidRDefault="00F31EE0">
      <w:pPr>
        <w:tabs>
          <w:tab w:val="center" w:pos="4475"/>
        </w:tabs>
        <w:spacing w:line="560" w:lineRule="exact"/>
        <w:ind w:firstLine="645"/>
        <w:rPr>
          <w:rFonts w:ascii="方正楷体_GB2312" w:eastAsia="方正楷体_GB2312" w:hAnsi="方正楷体_GB2312" w:cs="方正楷体_GB2312"/>
          <w:kern w:val="0"/>
        </w:rPr>
      </w:pPr>
      <w:r>
        <w:rPr>
          <w:rFonts w:ascii="黑体" w:eastAsia="黑体" w:hAnsi="黑体" w:cs="黑体" w:hint="eastAsia"/>
          <w:kern w:val="0"/>
        </w:rPr>
        <w:t>九、国有资产占用情况说明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资产总额为</w:t>
      </w:r>
      <w:r>
        <w:rPr>
          <w:rFonts w:ascii="仿宋_GB2312" w:eastAsia="仿宋_GB2312" w:hAnsi="宋体" w:hint="eastAsia"/>
          <w:szCs w:val="32"/>
        </w:rPr>
        <w:t>1,645.32</w:t>
      </w:r>
      <w:r>
        <w:rPr>
          <w:rFonts w:ascii="仿宋_GB2312" w:eastAsia="仿宋_GB2312" w:hAnsi="宋体" w:hint="eastAsia"/>
          <w:szCs w:val="32"/>
        </w:rPr>
        <w:t>万元（</w:t>
      </w:r>
      <w:r>
        <w:rPr>
          <w:rFonts w:ascii="仿宋_GB2312" w:eastAsia="仿宋_GB2312" w:hAnsi="宋体" w:hint="eastAsia"/>
          <w:szCs w:val="32"/>
        </w:rPr>
        <w:t>2025</w:t>
      </w:r>
      <w:r>
        <w:rPr>
          <w:rFonts w:ascii="仿宋_GB2312" w:eastAsia="仿宋_GB2312" w:hAnsi="宋体" w:hint="eastAsia"/>
          <w:szCs w:val="32"/>
        </w:rPr>
        <w:t>年初数据），其中：固定资产</w:t>
      </w:r>
      <w:r>
        <w:rPr>
          <w:rFonts w:ascii="仿宋_GB2312" w:eastAsia="仿宋_GB2312" w:hAnsi="宋体" w:hint="eastAsia"/>
          <w:szCs w:val="32"/>
        </w:rPr>
        <w:t>1,586.51</w:t>
      </w:r>
      <w:r>
        <w:rPr>
          <w:rFonts w:ascii="仿宋_GB2312" w:eastAsia="仿宋_GB2312" w:hAnsi="宋体" w:hint="eastAsia"/>
          <w:szCs w:val="32"/>
        </w:rPr>
        <w:t>万元，无形资产</w:t>
      </w:r>
      <w:r>
        <w:rPr>
          <w:rFonts w:ascii="仿宋_GB2312" w:eastAsia="仿宋_GB2312" w:hAnsi="宋体" w:hint="eastAsia"/>
          <w:szCs w:val="32"/>
        </w:rPr>
        <w:t>8.11</w:t>
      </w:r>
      <w:r>
        <w:rPr>
          <w:rFonts w:ascii="仿宋_GB2312" w:eastAsia="仿宋_GB2312" w:hAnsi="宋体" w:hint="eastAsia"/>
          <w:szCs w:val="32"/>
        </w:rPr>
        <w:t>万元，流动资产</w:t>
      </w:r>
      <w:r>
        <w:rPr>
          <w:rFonts w:ascii="仿宋_GB2312" w:eastAsia="仿宋_GB2312" w:hAnsi="宋体" w:hint="eastAsia"/>
          <w:szCs w:val="32"/>
        </w:rPr>
        <w:t>50.69</w:t>
      </w:r>
      <w:r>
        <w:rPr>
          <w:rFonts w:ascii="仿宋_GB2312" w:eastAsia="仿宋_GB2312" w:hAnsi="宋体" w:hint="eastAsia"/>
          <w:szCs w:val="32"/>
        </w:rPr>
        <w:t>万元。</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固定资产主要有：</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1.</w:t>
      </w:r>
      <w:r>
        <w:rPr>
          <w:rFonts w:ascii="仿宋_GB2312" w:eastAsia="仿宋_GB2312" w:hAnsi="宋体" w:hint="eastAsia"/>
          <w:szCs w:val="32"/>
        </w:rPr>
        <w:t>房屋</w:t>
      </w:r>
      <w:r>
        <w:rPr>
          <w:rFonts w:ascii="仿宋_GB2312" w:eastAsia="仿宋_GB2312" w:hAnsi="宋体" w:hint="eastAsia"/>
          <w:szCs w:val="32"/>
        </w:rPr>
        <w:t>6,377.97</w:t>
      </w:r>
      <w:r>
        <w:rPr>
          <w:rFonts w:ascii="仿宋_GB2312" w:eastAsia="仿宋_GB2312" w:hAnsi="宋体" w:hint="eastAsia"/>
          <w:szCs w:val="32"/>
        </w:rPr>
        <w:t>平方米，主要为广播电视发射台、广播电视监测台站机房、业务用房和分中心办公用房等。</w:t>
      </w:r>
      <w:r>
        <w:rPr>
          <w:rFonts w:ascii="仿宋_GB2312" w:eastAsia="仿宋_GB2312" w:hAnsi="宋体" w:hint="eastAsia"/>
          <w:szCs w:val="32"/>
        </w:rPr>
        <w:t xml:space="preserve"> </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2.</w:t>
      </w:r>
      <w:r>
        <w:rPr>
          <w:rFonts w:ascii="仿宋_GB2312" w:eastAsia="仿宋_GB2312" w:hAnsi="宋体" w:hint="eastAsia"/>
          <w:szCs w:val="32"/>
        </w:rPr>
        <w:t>单位车辆编制</w:t>
      </w:r>
      <w:r>
        <w:rPr>
          <w:rFonts w:ascii="仿宋_GB2312" w:eastAsia="仿宋_GB2312" w:hAnsi="宋体" w:hint="eastAsia"/>
          <w:szCs w:val="32"/>
        </w:rPr>
        <w:t>5</w:t>
      </w:r>
      <w:r>
        <w:rPr>
          <w:rFonts w:ascii="仿宋_GB2312" w:eastAsia="仿宋_GB2312" w:hAnsi="宋体" w:hint="eastAsia"/>
          <w:szCs w:val="32"/>
        </w:rPr>
        <w:t>辆，实有车辆</w:t>
      </w:r>
      <w:r>
        <w:rPr>
          <w:rFonts w:ascii="仿宋_GB2312" w:eastAsia="仿宋_GB2312" w:hAnsi="宋体" w:hint="eastAsia"/>
          <w:szCs w:val="32"/>
        </w:rPr>
        <w:t>5</w:t>
      </w:r>
      <w:r>
        <w:rPr>
          <w:rFonts w:ascii="仿宋_GB2312" w:eastAsia="仿宋_GB2312" w:hAnsi="宋体" w:hint="eastAsia"/>
          <w:szCs w:val="32"/>
        </w:rPr>
        <w:t>辆。</w:t>
      </w:r>
      <w:r>
        <w:rPr>
          <w:rFonts w:ascii="仿宋_GB2312" w:eastAsia="仿宋_GB2312" w:hAnsi="宋体" w:hint="eastAsia"/>
          <w:szCs w:val="32"/>
        </w:rPr>
        <w:t>5</w:t>
      </w:r>
      <w:bookmarkStart w:id="1" w:name="_GoBack"/>
      <w:bookmarkEnd w:id="1"/>
      <w:r>
        <w:rPr>
          <w:rFonts w:ascii="仿宋_GB2312" w:eastAsia="仿宋_GB2312" w:hAnsi="宋体" w:hint="eastAsia"/>
          <w:szCs w:val="32"/>
        </w:rPr>
        <w:t>辆车全部为其他用车（用于广播电视发射台站运行维护）。</w:t>
      </w:r>
    </w:p>
    <w:p w:rsidR="00B3754B" w:rsidRDefault="00F31EE0">
      <w:pPr>
        <w:tabs>
          <w:tab w:val="center" w:pos="4475"/>
        </w:tabs>
        <w:spacing w:line="560" w:lineRule="exact"/>
        <w:ind w:firstLine="645"/>
        <w:rPr>
          <w:rFonts w:ascii="方正楷体_GB2312" w:eastAsia="方正楷体_GB2312" w:hAnsi="方正楷体_GB2312" w:cs="方正楷体_GB2312"/>
          <w:szCs w:val="32"/>
        </w:rPr>
      </w:pPr>
      <w:r>
        <w:rPr>
          <w:rFonts w:ascii="黑体" w:eastAsia="黑体" w:hAnsi="黑体" w:cs="黑体" w:hint="eastAsia"/>
          <w:szCs w:val="32"/>
        </w:rPr>
        <w:t>十、预算项目绩效目标情况说明</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（一）我单位</w:t>
      </w:r>
      <w:r>
        <w:rPr>
          <w:rFonts w:ascii="仿宋_GB2312" w:eastAsia="仿宋_GB2312" w:hAnsi="宋体" w:hint="eastAsia"/>
          <w:szCs w:val="32"/>
        </w:rPr>
        <w:t>2026</w:t>
      </w:r>
      <w:r>
        <w:rPr>
          <w:rFonts w:ascii="仿宋_GB2312" w:eastAsia="仿宋_GB2312" w:hAnsi="宋体" w:hint="eastAsia"/>
          <w:szCs w:val="32"/>
        </w:rPr>
        <w:t>年所有项目支出全面实施绩效目标管理，涉及自治区本级项目</w:t>
      </w:r>
      <w:r>
        <w:rPr>
          <w:rFonts w:ascii="仿宋_GB2312" w:eastAsia="仿宋_GB2312" w:hAnsi="宋体" w:hint="eastAsia"/>
          <w:szCs w:val="32"/>
        </w:rPr>
        <w:t>8</w:t>
      </w:r>
      <w:r>
        <w:rPr>
          <w:rFonts w:ascii="仿宋_GB2312" w:eastAsia="仿宋_GB2312" w:hAnsi="宋体" w:hint="eastAsia"/>
          <w:szCs w:val="32"/>
        </w:rPr>
        <w:t>个，预算资金</w:t>
      </w:r>
      <w:r>
        <w:rPr>
          <w:rFonts w:ascii="仿宋_GB2312" w:eastAsia="仿宋_GB2312" w:hAnsi="宋体" w:hint="eastAsia"/>
          <w:szCs w:val="32"/>
        </w:rPr>
        <w:t>666.78</w:t>
      </w:r>
      <w:r>
        <w:rPr>
          <w:rFonts w:ascii="仿宋_GB2312" w:eastAsia="仿宋_GB2312" w:hAnsi="宋体" w:hint="eastAsia"/>
          <w:szCs w:val="32"/>
        </w:rPr>
        <w:t>万元；对下转移支付项目</w:t>
      </w:r>
      <w:r>
        <w:rPr>
          <w:rFonts w:ascii="仿宋_GB2312" w:eastAsia="仿宋_GB2312" w:hAnsi="宋体" w:hint="eastAsia"/>
          <w:szCs w:val="32"/>
        </w:rPr>
        <w:t>0</w:t>
      </w:r>
      <w:r>
        <w:rPr>
          <w:rFonts w:ascii="仿宋_GB2312" w:eastAsia="仿宋_GB2312" w:hAnsi="宋体" w:hint="eastAsia"/>
          <w:szCs w:val="32"/>
        </w:rPr>
        <w:t>个，预算资金</w:t>
      </w:r>
      <w:r>
        <w:rPr>
          <w:rFonts w:ascii="仿宋_GB2312" w:eastAsia="仿宋_GB2312" w:hAnsi="宋体" w:hint="eastAsia"/>
          <w:szCs w:val="32"/>
        </w:rPr>
        <w:t>0</w:t>
      </w:r>
      <w:r>
        <w:rPr>
          <w:rFonts w:ascii="仿宋_GB2312" w:eastAsia="仿宋_GB2312" w:hAnsi="宋体" w:hint="eastAsia"/>
          <w:szCs w:val="32"/>
        </w:rPr>
        <w:t>万元。绩效目标情况详见报表（敏感涉密项目除外）。</w:t>
      </w:r>
    </w:p>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（二）重点项目预算绩效目标说明。</w:t>
      </w:r>
    </w:p>
    <w:tbl>
      <w:tblPr>
        <w:tblStyle w:val="a8"/>
        <w:tblW w:w="0" w:type="auto"/>
        <w:tblLook w:val="04A0"/>
      </w:tblPr>
      <w:tblGrid>
        <w:gridCol w:w="3019"/>
        <w:gridCol w:w="2192"/>
        <w:gridCol w:w="3850"/>
      </w:tblGrid>
      <w:tr w:rsidR="00B3754B">
        <w:trPr>
          <w:trHeight w:val="991"/>
        </w:trPr>
        <w:tc>
          <w:tcPr>
            <w:tcW w:w="3019" w:type="dxa"/>
            <w:noWrap/>
            <w:vAlign w:val="center"/>
          </w:tcPr>
          <w:p w:rsidR="00B3754B" w:rsidRDefault="00F31EE0">
            <w:pPr>
              <w:tabs>
                <w:tab w:val="center" w:pos="4475"/>
              </w:tabs>
              <w:spacing w:line="560" w:lineRule="exact"/>
              <w:jc w:val="center"/>
              <w:rPr>
                <w:rFonts w:ascii="方正仿宋_GB2312" w:hAnsi="方正仿宋_GB2312" w:cs="方正仿宋_GB2312"/>
                <w:b/>
                <w:bCs/>
                <w:szCs w:val="32"/>
              </w:rPr>
            </w:pPr>
            <w:r>
              <w:rPr>
                <w:rFonts w:ascii="方正仿宋_GB2312" w:hAnsi="方正仿宋_GB2312" w:cs="方正仿宋_GB2312" w:hint="eastAsia"/>
                <w:b/>
                <w:bCs/>
                <w:szCs w:val="32"/>
              </w:rPr>
              <w:t>项目名称</w:t>
            </w:r>
          </w:p>
        </w:tc>
        <w:tc>
          <w:tcPr>
            <w:tcW w:w="2192" w:type="dxa"/>
            <w:noWrap/>
            <w:vAlign w:val="center"/>
          </w:tcPr>
          <w:p w:rsidR="00B3754B" w:rsidRDefault="00F31EE0">
            <w:pPr>
              <w:tabs>
                <w:tab w:val="center" w:pos="4475"/>
              </w:tabs>
              <w:spacing w:line="560" w:lineRule="exact"/>
              <w:jc w:val="center"/>
              <w:rPr>
                <w:rFonts w:ascii="方正仿宋_GB2312" w:hAnsi="方正仿宋_GB2312" w:cs="方正仿宋_GB2312"/>
                <w:b/>
                <w:bCs/>
                <w:szCs w:val="32"/>
              </w:rPr>
            </w:pPr>
            <w:r>
              <w:rPr>
                <w:rFonts w:ascii="方正仿宋_GB2312" w:hAnsi="方正仿宋_GB2312" w:cs="方正仿宋_GB2312" w:hint="eastAsia"/>
                <w:b/>
                <w:bCs/>
                <w:szCs w:val="32"/>
              </w:rPr>
              <w:t>预算数（单位：万元）</w:t>
            </w:r>
          </w:p>
        </w:tc>
        <w:tc>
          <w:tcPr>
            <w:tcW w:w="3850" w:type="dxa"/>
            <w:noWrap/>
            <w:vAlign w:val="center"/>
          </w:tcPr>
          <w:p w:rsidR="00B3754B" w:rsidRDefault="00F31EE0">
            <w:pPr>
              <w:tabs>
                <w:tab w:val="center" w:pos="4475"/>
              </w:tabs>
              <w:spacing w:line="560" w:lineRule="exact"/>
              <w:jc w:val="center"/>
              <w:rPr>
                <w:rFonts w:ascii="方正仿宋_GB2312" w:hAnsi="方正仿宋_GB2312" w:cs="方正仿宋_GB2312"/>
                <w:b/>
                <w:bCs/>
                <w:szCs w:val="32"/>
              </w:rPr>
            </w:pPr>
            <w:r>
              <w:rPr>
                <w:rFonts w:ascii="方正仿宋_GB2312" w:hAnsi="方正仿宋_GB2312" w:cs="方正仿宋_GB2312" w:hint="eastAsia"/>
                <w:b/>
                <w:bCs/>
                <w:szCs w:val="32"/>
              </w:rPr>
              <w:t>绩效目标</w:t>
            </w:r>
          </w:p>
        </w:tc>
      </w:tr>
      <w:tr w:rsidR="00B3754B">
        <w:tc>
          <w:tcPr>
            <w:tcW w:w="3019" w:type="dxa"/>
            <w:noWrap/>
            <w:vAlign w:val="center"/>
          </w:tcPr>
          <w:p w:rsidR="00B3754B" w:rsidRDefault="00F31EE0">
            <w:pPr>
              <w:tabs>
                <w:tab w:val="center" w:pos="4475"/>
              </w:tabs>
              <w:spacing w:line="600" w:lineRule="exact"/>
              <w:rPr>
                <w:rFonts w:ascii="方正仿宋_GB2312" w:hAnsi="方正仿宋_GB2312" w:cs="方正仿宋_GB2312"/>
                <w:szCs w:val="32"/>
              </w:rPr>
            </w:pPr>
            <w:r>
              <w:rPr>
                <w:rFonts w:ascii="仿宋_GB2312" w:eastAsia="仿宋_GB2312" w:hAnsi="宋体" w:hint="eastAsia"/>
                <w:szCs w:val="32"/>
              </w:rPr>
              <w:t>广西本地节目地面数字电视覆盖网台站运行维护费</w:t>
            </w:r>
          </w:p>
        </w:tc>
        <w:tc>
          <w:tcPr>
            <w:tcW w:w="2192" w:type="dxa"/>
            <w:noWrap/>
            <w:vAlign w:val="center"/>
          </w:tcPr>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63.75</w:t>
            </w:r>
          </w:p>
        </w:tc>
        <w:tc>
          <w:tcPr>
            <w:tcW w:w="3850" w:type="dxa"/>
            <w:noWrap/>
          </w:tcPr>
          <w:p w:rsidR="00B3754B" w:rsidRDefault="00F31EE0">
            <w:pPr>
              <w:tabs>
                <w:tab w:val="center" w:pos="4475"/>
              </w:tabs>
              <w:spacing w:line="600" w:lineRule="exact"/>
              <w:rPr>
                <w:rFonts w:ascii="仿宋_GB2312" w:eastAsia="仿宋_GB2312" w:hAnsi="宋体"/>
                <w:szCs w:val="32"/>
              </w:rPr>
            </w:pPr>
            <w:r>
              <w:rPr>
                <w:rFonts w:ascii="仿宋_GB2312" w:eastAsia="仿宋_GB2312" w:hAnsi="宋体" w:hint="eastAsia"/>
                <w:szCs w:val="32"/>
              </w:rPr>
              <w:t>通过完成防城港市</w:t>
            </w:r>
            <w:r>
              <w:rPr>
                <w:rFonts w:ascii="仿宋_GB2312" w:eastAsia="仿宋_GB2312" w:hAnsi="宋体" w:hint="eastAsia"/>
                <w:szCs w:val="32"/>
              </w:rPr>
              <w:t>42</w:t>
            </w:r>
            <w:r>
              <w:rPr>
                <w:rFonts w:ascii="仿宋_GB2312" w:eastAsia="仿宋_GB2312" w:hAnsi="宋体" w:hint="eastAsia"/>
                <w:szCs w:val="32"/>
              </w:rPr>
              <w:t>座纳入广西本地节目地面数字电视覆盖网的台站日常运</w:t>
            </w:r>
            <w:r>
              <w:rPr>
                <w:rFonts w:ascii="仿宋_GB2312" w:eastAsia="仿宋_GB2312" w:hAnsi="宋体" w:hint="eastAsia"/>
                <w:szCs w:val="32"/>
              </w:rPr>
              <w:lastRenderedPageBreak/>
              <w:t>行维护工作，达到保障台站正常运行的目标，实现广西本地数字电视节目正常播出的效果。</w:t>
            </w:r>
          </w:p>
        </w:tc>
      </w:tr>
      <w:tr w:rsidR="00B3754B">
        <w:tc>
          <w:tcPr>
            <w:tcW w:w="3019" w:type="dxa"/>
            <w:noWrap/>
            <w:vAlign w:val="center"/>
          </w:tcPr>
          <w:p w:rsidR="00B3754B" w:rsidRDefault="00F31EE0">
            <w:pPr>
              <w:tabs>
                <w:tab w:val="center" w:pos="4475"/>
              </w:tabs>
              <w:spacing w:line="600" w:lineRule="exact"/>
              <w:rPr>
                <w:rFonts w:ascii="仿宋_GB2312" w:eastAsia="仿宋_GB2312" w:hAnsi="宋体"/>
                <w:szCs w:val="32"/>
              </w:rPr>
            </w:pPr>
            <w:r>
              <w:rPr>
                <w:rFonts w:ascii="仿宋_GB2312" w:eastAsia="仿宋_GB2312" w:hAnsi="宋体" w:hint="eastAsia"/>
                <w:szCs w:val="32"/>
              </w:rPr>
              <w:lastRenderedPageBreak/>
              <w:t>中央广播电视节目无线覆盖（数字）运行维护费</w:t>
            </w:r>
          </w:p>
        </w:tc>
        <w:tc>
          <w:tcPr>
            <w:tcW w:w="2192" w:type="dxa"/>
            <w:noWrap/>
            <w:vAlign w:val="center"/>
          </w:tcPr>
          <w:p w:rsidR="00B3754B" w:rsidRDefault="00F31EE0">
            <w:pPr>
              <w:tabs>
                <w:tab w:val="center" w:pos="4475"/>
              </w:tabs>
              <w:spacing w:line="600" w:lineRule="exact"/>
              <w:ind w:firstLine="645"/>
              <w:rPr>
                <w:rFonts w:ascii="仿宋_GB2312" w:eastAsia="仿宋_GB2312" w:hAnsi="宋体"/>
                <w:szCs w:val="32"/>
              </w:rPr>
            </w:pPr>
            <w:r>
              <w:rPr>
                <w:rFonts w:ascii="仿宋_GB2312" w:eastAsia="仿宋_GB2312" w:hAnsi="宋体" w:hint="eastAsia"/>
                <w:szCs w:val="32"/>
              </w:rPr>
              <w:t>291.17</w:t>
            </w:r>
          </w:p>
        </w:tc>
        <w:tc>
          <w:tcPr>
            <w:tcW w:w="3850" w:type="dxa"/>
            <w:noWrap/>
          </w:tcPr>
          <w:p w:rsidR="00B3754B" w:rsidRDefault="00F31EE0">
            <w:pPr>
              <w:tabs>
                <w:tab w:val="center" w:pos="4475"/>
              </w:tabs>
              <w:spacing w:line="600" w:lineRule="exact"/>
              <w:rPr>
                <w:rFonts w:ascii="仿宋_GB2312" w:eastAsia="仿宋_GB2312" w:hAnsi="宋体"/>
                <w:szCs w:val="32"/>
              </w:rPr>
            </w:pPr>
            <w:r>
              <w:rPr>
                <w:rFonts w:ascii="仿宋_GB2312" w:eastAsia="仿宋_GB2312" w:hAnsi="宋体" w:hint="eastAsia"/>
                <w:szCs w:val="32"/>
              </w:rPr>
              <w:t>通过对防城港市</w:t>
            </w:r>
            <w:r>
              <w:rPr>
                <w:rFonts w:ascii="仿宋_GB2312" w:eastAsia="仿宋_GB2312" w:hAnsi="宋体" w:hint="eastAsia"/>
                <w:szCs w:val="32"/>
              </w:rPr>
              <w:t>44</w:t>
            </w:r>
            <w:r>
              <w:rPr>
                <w:rFonts w:ascii="仿宋_GB2312" w:eastAsia="仿宋_GB2312" w:hAnsi="宋体" w:hint="eastAsia"/>
                <w:szCs w:val="32"/>
              </w:rPr>
              <w:t>座纳入中央广播电视节目无线数字化覆盖工程的台站开展</w:t>
            </w:r>
            <w:r>
              <w:rPr>
                <w:rFonts w:ascii="仿宋_GB2312" w:eastAsia="仿宋_GB2312" w:hAnsi="宋体" w:hint="eastAsia"/>
                <w:szCs w:val="32"/>
              </w:rPr>
              <w:t>2026</w:t>
            </w:r>
            <w:r>
              <w:rPr>
                <w:rFonts w:ascii="仿宋_GB2312" w:eastAsia="仿宋_GB2312" w:hAnsi="宋体" w:hint="eastAsia"/>
                <w:szCs w:val="32"/>
              </w:rPr>
              <w:t>年度安全播出保障和运行维护工作，实现保障这些台站稳定可靠运行的目标，达到中央</w:t>
            </w:r>
            <w:r>
              <w:rPr>
                <w:rFonts w:ascii="仿宋_GB2312" w:eastAsia="仿宋_GB2312" w:hAnsi="宋体" w:hint="eastAsia"/>
                <w:szCs w:val="32"/>
              </w:rPr>
              <w:t>12</w:t>
            </w:r>
            <w:r>
              <w:rPr>
                <w:rFonts w:ascii="仿宋_GB2312" w:eastAsia="仿宋_GB2312" w:hAnsi="宋体" w:hint="eastAsia"/>
                <w:szCs w:val="32"/>
              </w:rPr>
              <w:t>套标清地面数字电视节目高质量播出的效果。</w:t>
            </w:r>
          </w:p>
        </w:tc>
      </w:tr>
    </w:tbl>
    <w:p w:rsidR="00B3754B" w:rsidRDefault="00B3754B">
      <w:pPr>
        <w:tabs>
          <w:tab w:val="center" w:pos="4475"/>
        </w:tabs>
        <w:spacing w:line="560" w:lineRule="exact"/>
        <w:rPr>
          <w:rFonts w:ascii="黑体" w:eastAsia="黑体"/>
          <w:szCs w:val="32"/>
        </w:rPr>
      </w:pPr>
    </w:p>
    <w:p w:rsidR="00B3754B" w:rsidRDefault="00F31EE0">
      <w:pPr>
        <w:widowControl/>
        <w:jc w:val="left"/>
        <w:rPr>
          <w:rFonts w:ascii="黑体" w:eastAsia="黑体"/>
          <w:szCs w:val="32"/>
        </w:rPr>
      </w:pPr>
      <w:r>
        <w:rPr>
          <w:rFonts w:ascii="黑体" w:eastAsia="黑体"/>
          <w:szCs w:val="32"/>
        </w:rPr>
        <w:br w:type="page"/>
      </w:r>
    </w:p>
    <w:p w:rsidR="00B3754B" w:rsidRDefault="00F31EE0">
      <w:pPr>
        <w:tabs>
          <w:tab w:val="center" w:pos="4475"/>
        </w:tabs>
        <w:spacing w:line="560" w:lineRule="exact"/>
        <w:ind w:firstLine="645"/>
        <w:jc w:val="center"/>
        <w:rPr>
          <w:rFonts w:ascii="黑体" w:eastAsia="黑体"/>
          <w:szCs w:val="32"/>
        </w:rPr>
      </w:pPr>
      <w:r>
        <w:rPr>
          <w:rFonts w:ascii="黑体" w:eastAsia="黑体" w:hint="eastAsia"/>
          <w:szCs w:val="32"/>
        </w:rPr>
        <w:lastRenderedPageBreak/>
        <w:t>第三部分：名词解释</w:t>
      </w:r>
    </w:p>
    <w:p w:rsidR="00B3754B" w:rsidRDefault="00B3754B">
      <w:pPr>
        <w:tabs>
          <w:tab w:val="center" w:pos="4475"/>
        </w:tabs>
        <w:spacing w:line="560" w:lineRule="exact"/>
        <w:ind w:firstLine="645"/>
        <w:rPr>
          <w:rFonts w:ascii="黑体" w:eastAsia="黑体"/>
          <w:szCs w:val="32"/>
        </w:rPr>
      </w:pPr>
    </w:p>
    <w:p w:rsidR="00B3754B" w:rsidRDefault="00F31EE0">
      <w:pPr>
        <w:tabs>
          <w:tab w:val="center" w:pos="4475"/>
        </w:tabs>
        <w:spacing w:line="600" w:lineRule="exact"/>
        <w:ind w:firstLineChars="200" w:firstLine="640"/>
        <w:rPr>
          <w:rFonts w:ascii="仿宋_GB2312" w:eastAsia="仿宋_GB2312" w:hAnsi="宋体"/>
          <w:szCs w:val="32"/>
        </w:rPr>
      </w:pPr>
      <w:r>
        <w:rPr>
          <w:rFonts w:ascii="仿宋_GB2312" w:eastAsia="仿宋_GB2312" w:hAnsi="宋体" w:hint="eastAsia"/>
          <w:szCs w:val="32"/>
        </w:rPr>
        <w:t>一、财政拨款收入：指自治区财政部门当年拨付的资金。</w:t>
      </w:r>
    </w:p>
    <w:p w:rsidR="00B3754B" w:rsidRDefault="00F31EE0">
      <w:pPr>
        <w:tabs>
          <w:tab w:val="center" w:pos="4475"/>
        </w:tabs>
        <w:spacing w:line="600" w:lineRule="exact"/>
        <w:ind w:firstLineChars="200" w:firstLine="640"/>
        <w:rPr>
          <w:rFonts w:ascii="仿宋_GB2312" w:eastAsia="仿宋_GB2312" w:hAnsi="宋体"/>
          <w:szCs w:val="32"/>
        </w:rPr>
      </w:pPr>
      <w:r>
        <w:rPr>
          <w:rFonts w:ascii="仿宋_GB2312" w:eastAsia="仿宋_GB2312" w:hAnsi="宋体" w:hint="eastAsia"/>
          <w:szCs w:val="32"/>
        </w:rPr>
        <w:t>二、其他收入：指除上述“财政拨款收入”、“事业收入”、“经营收入”等以外的收入。</w:t>
      </w:r>
    </w:p>
    <w:p w:rsidR="00B3754B" w:rsidRDefault="00F31EE0">
      <w:pPr>
        <w:tabs>
          <w:tab w:val="center" w:pos="4475"/>
        </w:tabs>
        <w:spacing w:line="600" w:lineRule="exact"/>
        <w:ind w:firstLineChars="200" w:firstLine="640"/>
        <w:rPr>
          <w:rFonts w:ascii="仿宋_GB2312" w:eastAsia="仿宋_GB2312" w:hAnsi="宋体"/>
          <w:szCs w:val="32"/>
        </w:rPr>
      </w:pPr>
      <w:r>
        <w:rPr>
          <w:rFonts w:ascii="仿宋_GB2312" w:eastAsia="仿宋_GB2312" w:hAnsi="宋体" w:hint="eastAsia"/>
          <w:szCs w:val="32"/>
        </w:rPr>
        <w:t>三、基本支出：指为保障机构正常运转、完成日常工作任务而发生的人员支出和公用支出。</w:t>
      </w:r>
    </w:p>
    <w:p w:rsidR="00B3754B" w:rsidRDefault="00F31EE0">
      <w:pPr>
        <w:tabs>
          <w:tab w:val="center" w:pos="4475"/>
        </w:tabs>
        <w:spacing w:line="600" w:lineRule="exact"/>
        <w:ind w:firstLineChars="200" w:firstLine="640"/>
        <w:rPr>
          <w:rFonts w:ascii="仿宋_GB2312" w:eastAsia="仿宋_GB2312" w:hAnsi="宋体"/>
          <w:szCs w:val="32"/>
        </w:rPr>
      </w:pPr>
      <w:r>
        <w:rPr>
          <w:rFonts w:ascii="仿宋_GB2312" w:eastAsia="仿宋_GB2312" w:hAnsi="宋体" w:hint="eastAsia"/>
          <w:szCs w:val="32"/>
        </w:rPr>
        <w:t>四、项目支出：指在基本支出之外为完成特定行政任务和事业发展目标所发生的支出。</w:t>
      </w:r>
    </w:p>
    <w:p w:rsidR="00B3754B" w:rsidRDefault="00F31EE0">
      <w:pPr>
        <w:tabs>
          <w:tab w:val="center" w:pos="4475"/>
        </w:tabs>
        <w:spacing w:line="600" w:lineRule="exact"/>
        <w:ind w:firstLineChars="200" w:firstLine="640"/>
        <w:rPr>
          <w:rFonts w:ascii="仿宋_GB2312" w:eastAsia="仿宋_GB2312" w:hAnsi="宋体"/>
          <w:szCs w:val="32"/>
        </w:rPr>
      </w:pPr>
      <w:r>
        <w:rPr>
          <w:rFonts w:ascii="仿宋_GB2312" w:eastAsia="仿宋_GB2312" w:hAnsi="宋体" w:hint="eastAsia"/>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w:t>
      </w:r>
      <w:r>
        <w:rPr>
          <w:rFonts w:ascii="仿宋_GB2312" w:eastAsia="仿宋_GB2312" w:hAnsi="宋体" w:hint="eastAsia"/>
          <w:szCs w:val="32"/>
        </w:rPr>
        <w:t>外宾接待）支出。</w:t>
      </w:r>
    </w:p>
    <w:p w:rsidR="00B3754B" w:rsidRDefault="00F31EE0">
      <w:pPr>
        <w:tabs>
          <w:tab w:val="center" w:pos="4475"/>
        </w:tabs>
        <w:spacing w:line="600" w:lineRule="exact"/>
        <w:ind w:firstLineChars="200" w:firstLine="640"/>
        <w:rPr>
          <w:rFonts w:ascii="仿宋_GB2312" w:eastAsia="仿宋_GB2312" w:hAnsi="宋体"/>
          <w:szCs w:val="32"/>
        </w:rPr>
      </w:pPr>
      <w:r>
        <w:rPr>
          <w:rFonts w:ascii="仿宋_GB2312" w:eastAsia="仿宋_GB2312" w:hAnsi="宋体" w:hint="eastAsia"/>
          <w:szCs w:val="32"/>
        </w:rPr>
        <w:t>六、事业单位相关运行经费：为保障事业单位运行用于购买货物和服务的各项资金，包括办公及印刷费、邮电费、差旅费、会议费、福利费、日常维修费、专用材料及一般设备购置</w:t>
      </w:r>
      <w:r>
        <w:rPr>
          <w:rFonts w:ascii="仿宋_GB2312" w:eastAsia="仿宋_GB2312" w:hAnsi="宋体" w:hint="eastAsia"/>
          <w:szCs w:val="32"/>
        </w:rPr>
        <w:lastRenderedPageBreak/>
        <w:t>费、办公用房水电费、办公用房取暖费、办公用房物业管理费、公务用车运行维护费以及其他费用。</w:t>
      </w:r>
    </w:p>
    <w:p w:rsidR="00B3754B" w:rsidRDefault="00B3754B">
      <w:pPr>
        <w:tabs>
          <w:tab w:val="center" w:pos="4475"/>
        </w:tabs>
        <w:snapToGrid w:val="0"/>
        <w:spacing w:line="560" w:lineRule="exact"/>
        <w:rPr>
          <w:rFonts w:ascii="方正仿宋_GB231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ind w:firstLine="645"/>
        <w:rPr>
          <w:rFonts w:ascii="黑体" w:eastAsia="黑体"/>
          <w:szCs w:val="32"/>
        </w:rPr>
      </w:pPr>
    </w:p>
    <w:p w:rsidR="00B3754B" w:rsidRDefault="00B3754B">
      <w:pPr>
        <w:tabs>
          <w:tab w:val="center" w:pos="4475"/>
        </w:tabs>
        <w:spacing w:line="560" w:lineRule="exact"/>
        <w:rPr>
          <w:rFonts w:ascii="黑体" w:eastAsia="黑体"/>
          <w:szCs w:val="32"/>
        </w:rPr>
      </w:pPr>
    </w:p>
    <w:p w:rsidR="00B3754B" w:rsidRDefault="00F31EE0">
      <w:pPr>
        <w:tabs>
          <w:tab w:val="center" w:pos="4475"/>
        </w:tabs>
        <w:spacing w:line="560" w:lineRule="exact"/>
        <w:jc w:val="center"/>
        <w:rPr>
          <w:rFonts w:ascii="黑体" w:eastAsia="黑体"/>
          <w:spacing w:val="-22"/>
          <w:szCs w:val="32"/>
        </w:rPr>
      </w:pPr>
      <w:r>
        <w:rPr>
          <w:rFonts w:ascii="黑体" w:eastAsia="黑体" w:hint="eastAsia"/>
          <w:spacing w:val="-22"/>
          <w:szCs w:val="32"/>
        </w:rPr>
        <w:lastRenderedPageBreak/>
        <w:t>第四部分：广西广播电视技术中心防城港分中心</w:t>
      </w:r>
      <w:r>
        <w:rPr>
          <w:rFonts w:ascii="黑体" w:eastAsia="黑体" w:hAnsi="宋体" w:hint="eastAsia"/>
          <w:spacing w:val="-22"/>
          <w:szCs w:val="32"/>
        </w:rPr>
        <w:t>202</w:t>
      </w:r>
      <w:r>
        <w:rPr>
          <w:rFonts w:ascii="黑体" w:eastAsia="黑体" w:hAnsi="宋体" w:hint="eastAsia"/>
          <w:spacing w:val="-22"/>
          <w:szCs w:val="32"/>
        </w:rPr>
        <w:t>6</w:t>
      </w:r>
      <w:r>
        <w:rPr>
          <w:rFonts w:ascii="黑体" w:eastAsia="黑体" w:hAnsi="宋体" w:hint="eastAsia"/>
          <w:spacing w:val="-22"/>
          <w:szCs w:val="32"/>
        </w:rPr>
        <w:t>年单位</w:t>
      </w:r>
      <w:r>
        <w:rPr>
          <w:rFonts w:ascii="黑体" w:eastAsia="黑体" w:hint="eastAsia"/>
          <w:spacing w:val="-22"/>
          <w:szCs w:val="32"/>
        </w:rPr>
        <w:t>预</w:t>
      </w:r>
      <w:r>
        <w:rPr>
          <w:rFonts w:ascii="黑体" w:eastAsia="黑体" w:hint="eastAsia"/>
          <w:spacing w:val="-22"/>
          <w:szCs w:val="32"/>
        </w:rPr>
        <w:t>算公开报表</w:t>
      </w:r>
    </w:p>
    <w:p w:rsidR="00B3754B" w:rsidRDefault="00B3754B">
      <w:pPr>
        <w:tabs>
          <w:tab w:val="center" w:pos="4475"/>
        </w:tabs>
        <w:spacing w:line="560" w:lineRule="exact"/>
        <w:rPr>
          <w:rFonts w:ascii="黑体" w:eastAsia="黑体"/>
          <w:szCs w:val="32"/>
        </w:rPr>
      </w:pP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一、单位收支总体情况表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二、单位收入总体情况表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三、单位支出总体情况表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四、财政拨款收支总体情况表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五、一般公共预算支出情况表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六、一般公共预算基本支出情况表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七、财政拨款“三公”经费、会议费和培训费支出情况表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八、政府性基金预算支出情况表</w:t>
      </w:r>
    </w:p>
    <w:p w:rsidR="00B3754B" w:rsidRDefault="00F31EE0">
      <w:pPr>
        <w:adjustRightInd w:val="0"/>
        <w:snapToGrid w:val="0"/>
        <w:spacing w:line="574" w:lineRule="exact"/>
        <w:ind w:rightChars="-104" w:right="-333" w:firstLine="640"/>
        <w:rPr>
          <w:rFonts w:ascii="方正仿宋_GB2312" w:hAnsi="宋体"/>
          <w:szCs w:val="32"/>
        </w:rPr>
      </w:pPr>
      <w:r>
        <w:rPr>
          <w:rFonts w:ascii="方正仿宋_GB2312" w:hAnsi="宋体" w:hint="eastAsia"/>
          <w:szCs w:val="32"/>
        </w:rPr>
        <w:t>九、国有资本经营预算支出情况表</w:t>
      </w:r>
    </w:p>
    <w:p w:rsidR="00B3754B" w:rsidRDefault="00F31EE0">
      <w:pPr>
        <w:adjustRightInd w:val="0"/>
        <w:snapToGrid w:val="0"/>
        <w:spacing w:line="600" w:lineRule="exact"/>
        <w:ind w:rightChars="-104" w:right="-333" w:firstLineChars="200" w:firstLine="640"/>
        <w:rPr>
          <w:rFonts w:ascii="方正仿宋_GB2312" w:hAnsi="宋体"/>
          <w:szCs w:val="32"/>
        </w:rPr>
      </w:pPr>
      <w:r>
        <w:rPr>
          <w:rFonts w:ascii="方正仿宋_GB2312" w:hAnsi="宋体" w:hint="eastAsia"/>
          <w:szCs w:val="32"/>
        </w:rPr>
        <w:t>十、自治区本级项目绩效目标公开表</w:t>
      </w:r>
    </w:p>
    <w:p w:rsidR="00B3754B" w:rsidRDefault="00F31EE0">
      <w:pPr>
        <w:adjustRightInd w:val="0"/>
        <w:snapToGrid w:val="0"/>
        <w:spacing w:line="600" w:lineRule="exact"/>
        <w:ind w:rightChars="-104" w:right="-333" w:firstLineChars="200" w:firstLine="640"/>
        <w:rPr>
          <w:rFonts w:ascii="方正仿宋_GB2312" w:hAnsi="宋体"/>
          <w:szCs w:val="32"/>
        </w:rPr>
      </w:pPr>
      <w:r>
        <w:rPr>
          <w:rFonts w:ascii="方正仿宋_GB2312" w:hAnsi="宋体" w:hint="eastAsia"/>
          <w:szCs w:val="32"/>
        </w:rPr>
        <w:t>十一、自治区对下转移支付项目绩效目标公开表</w:t>
      </w:r>
    </w:p>
    <w:p w:rsidR="00B3754B" w:rsidRDefault="00F31EE0">
      <w:pPr>
        <w:adjustRightInd w:val="0"/>
        <w:snapToGrid w:val="0"/>
        <w:spacing w:line="574" w:lineRule="exact"/>
        <w:ind w:rightChars="-104" w:right="-333" w:firstLine="640"/>
      </w:pPr>
      <w:r>
        <w:rPr>
          <w:rFonts w:ascii="方正仿宋_GB2312" w:hAnsi="宋体" w:hint="eastAsia"/>
          <w:szCs w:val="32"/>
        </w:rPr>
        <w:t>详见广西广播电视技术中心防城港分中心</w:t>
      </w:r>
      <w:r>
        <w:rPr>
          <w:rFonts w:ascii="方正仿宋_GB2312" w:hAnsi="宋体" w:hint="eastAsia"/>
          <w:szCs w:val="32"/>
        </w:rPr>
        <w:t>2026</w:t>
      </w:r>
      <w:r>
        <w:rPr>
          <w:rFonts w:ascii="方正仿宋_GB2312" w:hAnsi="宋体" w:hint="eastAsia"/>
          <w:szCs w:val="32"/>
        </w:rPr>
        <w:t>年</w:t>
      </w:r>
      <w:r>
        <w:rPr>
          <w:rFonts w:ascii="方正仿宋_GB2312" w:hAnsi="宋体" w:hint="eastAsia"/>
          <w:szCs w:val="32"/>
        </w:rPr>
        <w:t>单位预算</w:t>
      </w:r>
      <w:r>
        <w:rPr>
          <w:rFonts w:ascii="方正仿宋_GB2312" w:hAnsi="宋体" w:hint="eastAsia"/>
          <w:szCs w:val="32"/>
        </w:rPr>
        <w:t>公开报表。</w:t>
      </w:r>
    </w:p>
    <w:p w:rsidR="00B3754B" w:rsidRDefault="00B3754B">
      <w:pPr>
        <w:tabs>
          <w:tab w:val="center" w:pos="4475"/>
        </w:tabs>
        <w:spacing w:line="560" w:lineRule="exact"/>
        <w:ind w:firstLine="645"/>
        <w:rPr>
          <w:rFonts w:ascii="方正仿宋_GB2312" w:hAnsi="宋体"/>
          <w:szCs w:val="32"/>
        </w:rPr>
      </w:pPr>
    </w:p>
    <w:sectPr w:rsidR="00B3754B" w:rsidSect="000A620F">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EE0" w:rsidRDefault="00F31EE0" w:rsidP="00B3754B">
      <w:r>
        <w:separator/>
      </w:r>
    </w:p>
  </w:endnote>
  <w:endnote w:type="continuationSeparator" w:id="1">
    <w:p w:rsidR="00F31EE0" w:rsidRDefault="00F31EE0" w:rsidP="00B37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charset w:val="86"/>
    <w:family w:val="auto"/>
    <w:pitch w:val="default"/>
    <w:sig w:usb0="A00002BF" w:usb1="184F6CFA" w:usb2="00000012" w:usb3="00000000" w:csb0="00040001" w:csb1="00000000"/>
    <w:embedRegular r:id="rId1" w:subsetted="1" w:fontKey="{D380793C-39E4-4981-8B4B-586C55942A41}"/>
    <w:embedBold r:id="rId2" w:subsetted="1" w:fontKey="{A3637595-3998-4C87-80D3-4D718BCD9724}"/>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32D857CE-52A6-4CAC-B6B5-97F37EA31B3C}"/>
  </w:font>
  <w:font w:name="仿宋_GB2312">
    <w:altName w:val="Arial Unicode MS"/>
    <w:charset w:val="86"/>
    <w:family w:val="modern"/>
    <w:pitch w:val="fixed"/>
    <w:sig w:usb0="00000000" w:usb1="080E0000" w:usb2="00000010" w:usb3="00000000" w:csb0="00040000" w:csb1="00000000"/>
    <w:embedRegular r:id="rId4" w:subsetted="1" w:fontKey="{0B1EBB4C-5BB4-4E91-9417-5B1C507CE5F4}"/>
  </w:font>
  <w:font w:name="方正楷体_GB2312">
    <w:charset w:val="86"/>
    <w:family w:val="auto"/>
    <w:pitch w:val="default"/>
    <w:sig w:usb0="A00002BF" w:usb1="184F6CFA" w:usb2="00000012"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4B" w:rsidRDefault="00B3754B">
    <w:pPr>
      <w:pStyle w:val="a6"/>
      <w:framePr w:wrap="around" w:vAnchor="text" w:hAnchor="margin" w:xAlign="center" w:y="1"/>
      <w:rPr>
        <w:rStyle w:val="aa"/>
      </w:rPr>
    </w:pPr>
    <w:r>
      <w:rPr>
        <w:rStyle w:val="aa"/>
      </w:rPr>
      <w:fldChar w:fldCharType="begin"/>
    </w:r>
    <w:r w:rsidR="00F31EE0">
      <w:rPr>
        <w:rStyle w:val="aa"/>
      </w:rPr>
      <w:instrText xml:space="preserve">PAGE  </w:instrText>
    </w:r>
    <w:r>
      <w:rPr>
        <w:rStyle w:val="aa"/>
      </w:rPr>
      <w:fldChar w:fldCharType="end"/>
    </w:r>
  </w:p>
  <w:p w:rsidR="00B3754B" w:rsidRDefault="00B3754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6318"/>
      <w:docPartObj>
        <w:docPartGallery w:val="Page Numbers (Bottom of Page)"/>
        <w:docPartUnique/>
      </w:docPartObj>
    </w:sdtPr>
    <w:sdtContent>
      <w:p w:rsidR="000A620F" w:rsidRDefault="000A620F">
        <w:pPr>
          <w:pStyle w:val="a6"/>
          <w:jc w:val="center"/>
        </w:pPr>
        <w:fldSimple w:instr=" PAGE   \* MERGEFORMAT ">
          <w:r w:rsidRPr="000A620F">
            <w:rPr>
              <w:noProof/>
              <w:lang w:val="zh-CN"/>
            </w:rPr>
            <w:t>-</w:t>
          </w:r>
          <w:r>
            <w:rPr>
              <w:noProof/>
            </w:rPr>
            <w:t xml:space="preserve"> </w:t>
          </w:r>
          <w:r w:rsidRPr="000A620F">
            <w:rPr>
              <w:rFonts w:ascii="楷体_GB2312" w:eastAsia="楷体_GB2312"/>
              <w:noProof/>
              <w:sz w:val="24"/>
              <w:szCs w:val="24"/>
            </w:rPr>
            <w:t xml:space="preserve">1 </w:t>
          </w:r>
          <w:r>
            <w:rPr>
              <w:noProof/>
            </w:rPr>
            <w:t>-</w:t>
          </w:r>
        </w:fldSimple>
      </w:p>
    </w:sdtContent>
  </w:sdt>
  <w:p w:rsidR="00B3754B" w:rsidRDefault="00B3754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0F" w:rsidRDefault="000A620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EE0" w:rsidRDefault="00F31EE0" w:rsidP="00B3754B">
      <w:r>
        <w:separator/>
      </w:r>
    </w:p>
  </w:footnote>
  <w:footnote w:type="continuationSeparator" w:id="1">
    <w:p w:rsidR="00F31EE0" w:rsidRDefault="00F31EE0" w:rsidP="00B37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0F" w:rsidRDefault="000A620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0F" w:rsidRDefault="000A620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0F" w:rsidRDefault="000A620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55"/>
  <w:drawingGridVerticalSpacing w:val="317"/>
  <w:displayHorizontalDrawingGridEvery w:val="0"/>
  <w:displayVerticalDrawingGridEvery w:val="2"/>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562D"/>
    <w:rsid w:val="000758AE"/>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20F"/>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47AA7"/>
    <w:rsid w:val="00150008"/>
    <w:rsid w:val="001509EA"/>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5CD"/>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58F"/>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CA9"/>
    <w:rsid w:val="00315F5F"/>
    <w:rsid w:val="00316279"/>
    <w:rsid w:val="003176F2"/>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92ED7"/>
    <w:rsid w:val="00394AAC"/>
    <w:rsid w:val="0039575A"/>
    <w:rsid w:val="00396736"/>
    <w:rsid w:val="0039769D"/>
    <w:rsid w:val="003A0370"/>
    <w:rsid w:val="003A0425"/>
    <w:rsid w:val="003A0FA8"/>
    <w:rsid w:val="003A23A5"/>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28F6"/>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26E14"/>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2680"/>
    <w:rsid w:val="00593441"/>
    <w:rsid w:val="00594A3A"/>
    <w:rsid w:val="0059576C"/>
    <w:rsid w:val="005A0A21"/>
    <w:rsid w:val="005A1F48"/>
    <w:rsid w:val="005A348C"/>
    <w:rsid w:val="005A6DAF"/>
    <w:rsid w:val="005A770F"/>
    <w:rsid w:val="005B74A7"/>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1112"/>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1D4"/>
    <w:rsid w:val="006E5A4E"/>
    <w:rsid w:val="006E5B08"/>
    <w:rsid w:val="006E7D56"/>
    <w:rsid w:val="006F3051"/>
    <w:rsid w:val="006F3052"/>
    <w:rsid w:val="006F4D1A"/>
    <w:rsid w:val="006F5E1F"/>
    <w:rsid w:val="0070008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3C9E"/>
    <w:rsid w:val="00735EC2"/>
    <w:rsid w:val="00741AD2"/>
    <w:rsid w:val="00742305"/>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E5503"/>
    <w:rsid w:val="007F065C"/>
    <w:rsid w:val="007F370F"/>
    <w:rsid w:val="007F7591"/>
    <w:rsid w:val="00801B0F"/>
    <w:rsid w:val="008035DF"/>
    <w:rsid w:val="00804D92"/>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5808"/>
    <w:rsid w:val="008E64FD"/>
    <w:rsid w:val="008E72EE"/>
    <w:rsid w:val="008E736E"/>
    <w:rsid w:val="008F0CC3"/>
    <w:rsid w:val="008F184F"/>
    <w:rsid w:val="008F2C46"/>
    <w:rsid w:val="008F4902"/>
    <w:rsid w:val="008F5C51"/>
    <w:rsid w:val="0090042C"/>
    <w:rsid w:val="0090046A"/>
    <w:rsid w:val="00907738"/>
    <w:rsid w:val="00910316"/>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191"/>
    <w:rsid w:val="00953B32"/>
    <w:rsid w:val="009569D2"/>
    <w:rsid w:val="00962FF7"/>
    <w:rsid w:val="00971168"/>
    <w:rsid w:val="00975BA5"/>
    <w:rsid w:val="00976006"/>
    <w:rsid w:val="00976940"/>
    <w:rsid w:val="00981064"/>
    <w:rsid w:val="00982BBD"/>
    <w:rsid w:val="00984D24"/>
    <w:rsid w:val="0098594C"/>
    <w:rsid w:val="00985E87"/>
    <w:rsid w:val="00986A35"/>
    <w:rsid w:val="00986B90"/>
    <w:rsid w:val="00990A43"/>
    <w:rsid w:val="00991F23"/>
    <w:rsid w:val="00991F9B"/>
    <w:rsid w:val="00992D90"/>
    <w:rsid w:val="00994991"/>
    <w:rsid w:val="00995A32"/>
    <w:rsid w:val="00995ACE"/>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6C47"/>
    <w:rsid w:val="00AC74AE"/>
    <w:rsid w:val="00AD119A"/>
    <w:rsid w:val="00AD1363"/>
    <w:rsid w:val="00AD27CA"/>
    <w:rsid w:val="00AD3BB5"/>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58B0"/>
    <w:rsid w:val="00B2640B"/>
    <w:rsid w:val="00B30BE2"/>
    <w:rsid w:val="00B318D7"/>
    <w:rsid w:val="00B31B0D"/>
    <w:rsid w:val="00B3439F"/>
    <w:rsid w:val="00B3574D"/>
    <w:rsid w:val="00B36888"/>
    <w:rsid w:val="00B36E4A"/>
    <w:rsid w:val="00B3754B"/>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65775"/>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5751"/>
    <w:rsid w:val="00BC7BC7"/>
    <w:rsid w:val="00BD4074"/>
    <w:rsid w:val="00BD4B32"/>
    <w:rsid w:val="00BE0021"/>
    <w:rsid w:val="00BF55F8"/>
    <w:rsid w:val="00BF60E8"/>
    <w:rsid w:val="00C100C2"/>
    <w:rsid w:val="00C13F8C"/>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D1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B662C"/>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14D1"/>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07CE"/>
    <w:rsid w:val="00E811FD"/>
    <w:rsid w:val="00E821C5"/>
    <w:rsid w:val="00E854AE"/>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1EE0"/>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4F84"/>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1770FC4"/>
    <w:rsid w:val="02414410"/>
    <w:rsid w:val="03593570"/>
    <w:rsid w:val="03D16BA7"/>
    <w:rsid w:val="040D60DF"/>
    <w:rsid w:val="040F1A9E"/>
    <w:rsid w:val="04221497"/>
    <w:rsid w:val="0493B3CC"/>
    <w:rsid w:val="06BE500F"/>
    <w:rsid w:val="07FB352D"/>
    <w:rsid w:val="08D01906"/>
    <w:rsid w:val="08F55730"/>
    <w:rsid w:val="0AEC6B8F"/>
    <w:rsid w:val="0BCB5A6E"/>
    <w:rsid w:val="0DBA9D63"/>
    <w:rsid w:val="0E203BF6"/>
    <w:rsid w:val="0E9AD4BA"/>
    <w:rsid w:val="0FFD4BBD"/>
    <w:rsid w:val="10907E3C"/>
    <w:rsid w:val="13179B40"/>
    <w:rsid w:val="13330364"/>
    <w:rsid w:val="1352EB20"/>
    <w:rsid w:val="1419693D"/>
    <w:rsid w:val="149090D1"/>
    <w:rsid w:val="166D53EE"/>
    <w:rsid w:val="16892FB4"/>
    <w:rsid w:val="1698494F"/>
    <w:rsid w:val="173AD97B"/>
    <w:rsid w:val="18844544"/>
    <w:rsid w:val="18D47301"/>
    <w:rsid w:val="1AC83294"/>
    <w:rsid w:val="1AF3C753"/>
    <w:rsid w:val="1B8C7FF1"/>
    <w:rsid w:val="1B9D20E9"/>
    <w:rsid w:val="1D2098EA"/>
    <w:rsid w:val="1DBF46D5"/>
    <w:rsid w:val="1E535FA9"/>
    <w:rsid w:val="1F44102C"/>
    <w:rsid w:val="1F7A214C"/>
    <w:rsid w:val="1F96F31B"/>
    <w:rsid w:val="1FDD0387"/>
    <w:rsid w:val="21CB51B0"/>
    <w:rsid w:val="2224F19C"/>
    <w:rsid w:val="22BFEBEB"/>
    <w:rsid w:val="22CEEC74"/>
    <w:rsid w:val="234D3CFE"/>
    <w:rsid w:val="26FCEB40"/>
    <w:rsid w:val="28B3FEBA"/>
    <w:rsid w:val="29B1C0B0"/>
    <w:rsid w:val="2A353533"/>
    <w:rsid w:val="2B070BC0"/>
    <w:rsid w:val="2B8E33BE"/>
    <w:rsid w:val="2D8E19A6"/>
    <w:rsid w:val="2E86E156"/>
    <w:rsid w:val="2EFE6A72"/>
    <w:rsid w:val="2F3A4449"/>
    <w:rsid w:val="2FFE9415"/>
    <w:rsid w:val="30071F93"/>
    <w:rsid w:val="305CE911"/>
    <w:rsid w:val="305D8FB5"/>
    <w:rsid w:val="31BC4601"/>
    <w:rsid w:val="31C97D18"/>
    <w:rsid w:val="31E9C342"/>
    <w:rsid w:val="332D347A"/>
    <w:rsid w:val="33B39103"/>
    <w:rsid w:val="33F8633A"/>
    <w:rsid w:val="3515FF7D"/>
    <w:rsid w:val="354635DA"/>
    <w:rsid w:val="358D3268"/>
    <w:rsid w:val="359447EE"/>
    <w:rsid w:val="3673A880"/>
    <w:rsid w:val="36EA546A"/>
    <w:rsid w:val="37B981DA"/>
    <w:rsid w:val="388A0D7B"/>
    <w:rsid w:val="3957299F"/>
    <w:rsid w:val="39D30B18"/>
    <w:rsid w:val="39FFCF44"/>
    <w:rsid w:val="3A4D0C68"/>
    <w:rsid w:val="3A9D2819"/>
    <w:rsid w:val="3C32D20F"/>
    <w:rsid w:val="3C3EAEB5"/>
    <w:rsid w:val="3CEEFC5D"/>
    <w:rsid w:val="3E472119"/>
    <w:rsid w:val="3EBCA4DD"/>
    <w:rsid w:val="3F102691"/>
    <w:rsid w:val="3F6641DB"/>
    <w:rsid w:val="3FB7363C"/>
    <w:rsid w:val="40E22213"/>
    <w:rsid w:val="43F7BA25"/>
    <w:rsid w:val="43FC474B"/>
    <w:rsid w:val="44CC6E35"/>
    <w:rsid w:val="44FDDB07"/>
    <w:rsid w:val="4550298F"/>
    <w:rsid w:val="466C45AD"/>
    <w:rsid w:val="4710C05D"/>
    <w:rsid w:val="4850FC50"/>
    <w:rsid w:val="49CC80D8"/>
    <w:rsid w:val="4A0B0A90"/>
    <w:rsid w:val="4BD35EEF"/>
    <w:rsid w:val="4DFE6750"/>
    <w:rsid w:val="4E347C62"/>
    <w:rsid w:val="4E907929"/>
    <w:rsid w:val="4EAB6381"/>
    <w:rsid w:val="4EC84111"/>
    <w:rsid w:val="504CF35F"/>
    <w:rsid w:val="50C1D1FE"/>
    <w:rsid w:val="51E97071"/>
    <w:rsid w:val="52CEB463"/>
    <w:rsid w:val="5427D05B"/>
    <w:rsid w:val="545F111D"/>
    <w:rsid w:val="55AC05FF"/>
    <w:rsid w:val="55FF10E2"/>
    <w:rsid w:val="5616C1B6"/>
    <w:rsid w:val="567EC938"/>
    <w:rsid w:val="572E50D6"/>
    <w:rsid w:val="57CDE740"/>
    <w:rsid w:val="58676F42"/>
    <w:rsid w:val="5965F966"/>
    <w:rsid w:val="5B397093"/>
    <w:rsid w:val="5B5E8EAC"/>
    <w:rsid w:val="5B81B2EA"/>
    <w:rsid w:val="5BFFB4B5"/>
    <w:rsid w:val="5CAB9968"/>
    <w:rsid w:val="5E0B58A4"/>
    <w:rsid w:val="5F7F161C"/>
    <w:rsid w:val="5F7FB92E"/>
    <w:rsid w:val="5FEB8AD7"/>
    <w:rsid w:val="5FEBD31C"/>
    <w:rsid w:val="5FFB1EC2"/>
    <w:rsid w:val="5FFF90B6"/>
    <w:rsid w:val="6044E638"/>
    <w:rsid w:val="60FB4F69"/>
    <w:rsid w:val="60FBF0F7"/>
    <w:rsid w:val="61CD6CFF"/>
    <w:rsid w:val="61CDDF4C"/>
    <w:rsid w:val="62C24169"/>
    <w:rsid w:val="62CF6F49"/>
    <w:rsid w:val="637A0864"/>
    <w:rsid w:val="63B7CC7E"/>
    <w:rsid w:val="648B21EB"/>
    <w:rsid w:val="64AAC824"/>
    <w:rsid w:val="64E14511"/>
    <w:rsid w:val="66A55805"/>
    <w:rsid w:val="67FF761E"/>
    <w:rsid w:val="67FF9636"/>
    <w:rsid w:val="69BD50F9"/>
    <w:rsid w:val="69CF76A1"/>
    <w:rsid w:val="69FF0AF5"/>
    <w:rsid w:val="6BF95096"/>
    <w:rsid w:val="6BFB1A23"/>
    <w:rsid w:val="6BFFDFBA"/>
    <w:rsid w:val="6C75D1FE"/>
    <w:rsid w:val="6CEF4DF5"/>
    <w:rsid w:val="6CF3644B"/>
    <w:rsid w:val="6D994B95"/>
    <w:rsid w:val="6DFF7D65"/>
    <w:rsid w:val="6EC0A192"/>
    <w:rsid w:val="6ECFCDD7"/>
    <w:rsid w:val="70309639"/>
    <w:rsid w:val="715F1BDF"/>
    <w:rsid w:val="71860080"/>
    <w:rsid w:val="7225F02E"/>
    <w:rsid w:val="72DD347A"/>
    <w:rsid w:val="72E4B37A"/>
    <w:rsid w:val="734C7A74"/>
    <w:rsid w:val="73BDCF28"/>
    <w:rsid w:val="742B19A4"/>
    <w:rsid w:val="742DDE13"/>
    <w:rsid w:val="74D7B59E"/>
    <w:rsid w:val="74E9DBB4"/>
    <w:rsid w:val="74EFEE4D"/>
    <w:rsid w:val="75FCAB1A"/>
    <w:rsid w:val="76DFDAE0"/>
    <w:rsid w:val="777B61D9"/>
    <w:rsid w:val="77964472"/>
    <w:rsid w:val="77ABE231"/>
    <w:rsid w:val="77DF9110"/>
    <w:rsid w:val="77F5DEB0"/>
    <w:rsid w:val="77FB40DA"/>
    <w:rsid w:val="7878324E"/>
    <w:rsid w:val="795F245A"/>
    <w:rsid w:val="7966338B"/>
    <w:rsid w:val="79AA4754"/>
    <w:rsid w:val="7A91E411"/>
    <w:rsid w:val="7A9F37E2"/>
    <w:rsid w:val="7B4F4B07"/>
    <w:rsid w:val="7B83C72C"/>
    <w:rsid w:val="7BBE0C1A"/>
    <w:rsid w:val="7BDEB738"/>
    <w:rsid w:val="7C07A89B"/>
    <w:rsid w:val="7CDFAAB2"/>
    <w:rsid w:val="7DA42796"/>
    <w:rsid w:val="7DE2940F"/>
    <w:rsid w:val="7DEAFBE4"/>
    <w:rsid w:val="7DFD55CC"/>
    <w:rsid w:val="7E7FDA45"/>
    <w:rsid w:val="7EA9110F"/>
    <w:rsid w:val="7EFF14AE"/>
    <w:rsid w:val="7EFFACC4"/>
    <w:rsid w:val="7F09A0A5"/>
    <w:rsid w:val="7F3EEC6E"/>
    <w:rsid w:val="7F655A60"/>
    <w:rsid w:val="7F6FE912"/>
    <w:rsid w:val="7F7AF9A1"/>
    <w:rsid w:val="7F7F915E"/>
    <w:rsid w:val="7F9032F6"/>
    <w:rsid w:val="7FB555E8"/>
    <w:rsid w:val="7FBDFA0C"/>
    <w:rsid w:val="7FDB1A25"/>
    <w:rsid w:val="7FDC6070"/>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54B"/>
    <w:pPr>
      <w:widowControl w:val="0"/>
      <w:jc w:val="both"/>
    </w:pPr>
    <w:rPr>
      <w:rFonts w:eastAsia="方正仿宋_GB2312"/>
      <w:kern w:val="2"/>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3754B"/>
    <w:rPr>
      <w:rFonts w:ascii="宋体" w:eastAsia="宋体" w:hAnsi="Courier New" w:cs="Courier New"/>
      <w:szCs w:val="21"/>
    </w:rPr>
  </w:style>
  <w:style w:type="paragraph" w:styleId="a4">
    <w:name w:val="Date"/>
    <w:basedOn w:val="a"/>
    <w:next w:val="a"/>
    <w:qFormat/>
    <w:rsid w:val="00B3754B"/>
    <w:pPr>
      <w:ind w:leftChars="2500" w:left="100"/>
    </w:pPr>
    <w:rPr>
      <w:rFonts w:eastAsia="宋体"/>
    </w:rPr>
  </w:style>
  <w:style w:type="paragraph" w:styleId="2">
    <w:name w:val="Body Text Indent 2"/>
    <w:basedOn w:val="a"/>
    <w:qFormat/>
    <w:rsid w:val="00B3754B"/>
    <w:pPr>
      <w:spacing w:line="480" w:lineRule="auto"/>
      <w:ind w:leftChars="200" w:left="420"/>
    </w:pPr>
    <w:rPr>
      <w:rFonts w:ascii="Calibri" w:eastAsia="宋体" w:hAnsi="Calibri"/>
      <w:sz w:val="21"/>
    </w:rPr>
  </w:style>
  <w:style w:type="paragraph" w:styleId="a5">
    <w:name w:val="Balloon Text"/>
    <w:basedOn w:val="a"/>
    <w:qFormat/>
    <w:rsid w:val="00B3754B"/>
    <w:rPr>
      <w:rFonts w:eastAsia="宋体"/>
      <w:sz w:val="18"/>
      <w:szCs w:val="18"/>
    </w:rPr>
  </w:style>
  <w:style w:type="paragraph" w:styleId="a6">
    <w:name w:val="footer"/>
    <w:basedOn w:val="a"/>
    <w:link w:val="Char"/>
    <w:uiPriority w:val="99"/>
    <w:qFormat/>
    <w:rsid w:val="00B3754B"/>
    <w:pPr>
      <w:tabs>
        <w:tab w:val="center" w:pos="4153"/>
        <w:tab w:val="right" w:pos="8306"/>
      </w:tabs>
      <w:snapToGrid w:val="0"/>
      <w:jc w:val="left"/>
    </w:pPr>
    <w:rPr>
      <w:rFonts w:eastAsia="宋体"/>
      <w:sz w:val="18"/>
      <w:szCs w:val="18"/>
    </w:rPr>
  </w:style>
  <w:style w:type="paragraph" w:styleId="a7">
    <w:name w:val="header"/>
    <w:basedOn w:val="a"/>
    <w:qFormat/>
    <w:rsid w:val="00B375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B375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B3754B"/>
    <w:rPr>
      <w:rFonts w:ascii="Times New Roman" w:eastAsia="宋体" w:hAnsi="Times New Roman" w:cs="Times New Roman"/>
      <w:b/>
      <w:bCs/>
    </w:rPr>
  </w:style>
  <w:style w:type="character" w:styleId="aa">
    <w:name w:val="page number"/>
    <w:basedOn w:val="a0"/>
    <w:qFormat/>
    <w:rsid w:val="00B3754B"/>
    <w:rPr>
      <w:rFonts w:ascii="Times New Roman" w:eastAsia="宋体" w:hAnsi="Times New Roman" w:cs="Times New Roman"/>
    </w:rPr>
  </w:style>
  <w:style w:type="paragraph" w:customStyle="1" w:styleId="CharCharCharCharCharCharChar">
    <w:name w:val="Char Char Char Char Char Char Char"/>
    <w:basedOn w:val="a"/>
    <w:qFormat/>
    <w:rsid w:val="00B3754B"/>
    <w:rPr>
      <w:rFonts w:eastAsia="宋体"/>
      <w:szCs w:val="21"/>
    </w:rPr>
  </w:style>
  <w:style w:type="character" w:customStyle="1" w:styleId="Char">
    <w:name w:val="页脚 Char"/>
    <w:basedOn w:val="a0"/>
    <w:link w:val="a6"/>
    <w:uiPriority w:val="99"/>
    <w:rsid w:val="000A620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720</Words>
  <Characters>4107</Characters>
  <Application>Microsoft Office Word</Application>
  <DocSecurity>0</DocSecurity>
  <Lines>34</Lines>
  <Paragraphs>9</Paragraphs>
  <ScaleCrop>false</ScaleCrop>
  <Company>微软中国</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505</cp:revision>
  <cp:lastPrinted>2018-03-10T09:26:00Z</cp:lastPrinted>
  <dcterms:created xsi:type="dcterms:W3CDTF">2015-03-20T08:29:00Z</dcterms:created>
  <dcterms:modified xsi:type="dcterms:W3CDTF">2026-02-10T10:12:00Z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45E4F468F08D4AF58BA90BD22A53C49B_13</vt:lpwstr>
  </property>
  <property fmtid="{D5CDD505-2E9C-101B-9397-08002B2CF9AE}" pid="4" name="KSOTemplateDocerSaveRecord">
    <vt:lpwstr>eyJoZGlkIjoiMTljY2Q2Nzk1ZGVkNjNkNjY2MTc1MDMzZjM4NWI1YTMiLCJ1c2VySWQiOiI0MzA5MzAyNjkifQ==</vt:lpwstr>
  </property>
</Properties>
</file>