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广西壮族自治区广播电视领域轻微违法行为依法不予行政处罚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事项清单</w:t>
      </w:r>
    </w:p>
    <w:bookmarkEnd w:id="0"/>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830"/>
        <w:gridCol w:w="4740"/>
        <w:gridCol w:w="2745"/>
        <w:gridCol w:w="247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序号</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违法事项</w:t>
            </w:r>
          </w:p>
        </w:tc>
        <w:tc>
          <w:tcPr>
            <w:tcW w:w="47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法定依据</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不予处罚适用条件</w:t>
            </w:r>
          </w:p>
        </w:tc>
        <w:tc>
          <w:tcPr>
            <w:tcW w:w="24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监管措施</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方正小标宋简体" w:hAnsi="方正小标宋简体" w:eastAsia="方正小标宋简体" w:cs="方正小标宋简体"/>
                <w:sz w:val="44"/>
                <w:szCs w:val="44"/>
                <w:vertAlign w:val="baseline"/>
                <w:lang w:val="en-US" w:eastAsia="zh-CN"/>
              </w:rPr>
            </w:pPr>
            <w:r>
              <w:rPr>
                <w:rFonts w:hint="eastAsia" w:ascii="黑体" w:hAnsi="宋体" w:eastAsia="黑体" w:cs="黑体"/>
                <w:i w:val="0"/>
                <w:color w:val="000000"/>
                <w:kern w:val="0"/>
                <w:sz w:val="28"/>
                <w:szCs w:val="28"/>
                <w:u w:val="none"/>
                <w:lang w:val="en-US" w:eastAsia="zh-CN" w:bidi="ar"/>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1</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在广播电视设施保护范围内种植树木、农作物的 </w:t>
            </w:r>
          </w:p>
        </w:tc>
        <w:tc>
          <w:tcPr>
            <w:tcW w:w="474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(一)种植树木、农作物的。</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1.首次实施违法行为；</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2.经告知后及时改正，在限期内停止违法行为、恢复原状或者采取其他补救措施，未影响广播电视设施正常运行。</w:t>
            </w:r>
          </w:p>
        </w:tc>
        <w:tc>
          <w:tcPr>
            <w:tcW w:w="24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1.通过说服教育、警示告诫、指导约谈等措施教育、引导、督促当事人依法依规开展相关活动；</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2.拒不改正的，依法处罚。</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自治区、设区市、县级广播电视行政部门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在广播电视设施保护范围内拴系牲畜、悬挂物品、攀附农作物的。</w:t>
            </w:r>
          </w:p>
        </w:tc>
        <w:tc>
          <w:tcPr>
            <w:tcW w:w="474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(四)拴系牲畜、悬挂物品、攀附农作物的。</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1.首次实施违法行为；</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2.经告知后及时改正，在限期内停止违法行为、恢复原状或者采取其他补救措施，未影响广播电视设施正常运行。</w:t>
            </w:r>
          </w:p>
        </w:tc>
        <w:tc>
          <w:tcPr>
            <w:tcW w:w="24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1.通过说服教育、警示告诫、指导约谈等措施教育、引导、督促当事人依法依规开展相关活动；</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2.拒不改正的，依法处罚。</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自治区、设区市、县级广播电视行政部门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sz w:val="24"/>
                <w:szCs w:val="24"/>
                <w:vertAlign w:val="baseline"/>
                <w:lang w:val="en-US" w:eastAsia="zh-CN"/>
              </w:rPr>
            </w:pPr>
            <w:r>
              <w:rPr>
                <w:rFonts w:hint="eastAsia" w:ascii="黑体" w:hAnsi="宋体" w:eastAsia="黑体" w:cs="黑体"/>
                <w:i w:val="0"/>
                <w:color w:val="000000"/>
                <w:kern w:val="0"/>
                <w:sz w:val="28"/>
                <w:szCs w:val="28"/>
                <w:u w:val="none"/>
                <w:lang w:val="en-US" w:eastAsia="zh-CN" w:bidi="ar"/>
              </w:rPr>
              <w:t>序号</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8"/>
                <w:szCs w:val="28"/>
                <w:u w:val="none"/>
                <w:lang w:val="en-US" w:eastAsia="zh-CN" w:bidi="ar"/>
              </w:rPr>
              <w:t>违法事项</w:t>
            </w:r>
          </w:p>
        </w:tc>
        <w:tc>
          <w:tcPr>
            <w:tcW w:w="47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8"/>
                <w:szCs w:val="28"/>
                <w:u w:val="none"/>
                <w:lang w:val="en-US" w:eastAsia="zh-CN" w:bidi="ar"/>
              </w:rPr>
              <w:t>法定依据</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8"/>
                <w:szCs w:val="28"/>
                <w:u w:val="none"/>
                <w:lang w:val="en-US" w:eastAsia="zh-CN" w:bidi="ar"/>
              </w:rPr>
              <w:t>不予处罚适用条件</w:t>
            </w:r>
          </w:p>
        </w:tc>
        <w:tc>
          <w:tcPr>
            <w:tcW w:w="24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8"/>
                <w:szCs w:val="28"/>
                <w:u w:val="none"/>
                <w:lang w:val="en-US" w:eastAsia="zh-CN" w:bidi="ar"/>
              </w:rPr>
              <w:t>监管措施</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8"/>
                <w:szCs w:val="28"/>
                <w:u w:val="none"/>
                <w:lang w:val="en-US" w:eastAsia="zh-CN" w:bidi="ar"/>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未建立用户投诉处理机制，或者未按时答复用户投诉</w:t>
            </w:r>
          </w:p>
        </w:tc>
        <w:tc>
          <w:tcPr>
            <w:tcW w:w="47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第二十五条 有线广播电视运营服务提供者应当建立用户投诉处理机制，形成包括受理、调查、处理、反馈、评估、报告、改进、存档等环节的完整工作流程。对用户关于服务的投诉，应当在十个工作日内答复。</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1.首次实施违法行为；</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2.自行改正或在行政机关责令改正的期限内改正；</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3.积极配合调查检查。</w:t>
            </w:r>
          </w:p>
        </w:tc>
        <w:tc>
          <w:tcPr>
            <w:tcW w:w="24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1.通过说服教育、警示告诫、指导约谈等措施教育、引导、督促当事人依法依规开展相关活动；</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2.拒不改正的，依法处罚。</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自治区、设区市、县级广播电视行政部门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有线广播电视运营服务提供者未对从业人员进行服务规范方面培训的</w:t>
            </w:r>
          </w:p>
        </w:tc>
        <w:tc>
          <w:tcPr>
            <w:tcW w:w="47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第二十八条 有线广播电视运营服务提供者应当对从业人员进行服务规范方面的培训。</w:t>
            </w:r>
          </w:p>
        </w:tc>
        <w:tc>
          <w:tcPr>
            <w:tcW w:w="274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1.首次实施违法行为；</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2.自行改正或在行政机关责令改正的期限内改正；</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3.积极配合调查检查。</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475" w:type="dxa"/>
            <w:noWrap w:val="0"/>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通过说服教育、警示告诫、指导约谈等措施教育、引导、督促当事人依法依规开展相关活动；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default" w:ascii="仿宋_GB2312" w:hAnsi="仿宋_GB2312" w:eastAsia="仿宋_GB2312" w:cs="仿宋_GB2312"/>
                <w:sz w:val="24"/>
                <w:szCs w:val="24"/>
                <w:vertAlign w:val="baseline"/>
                <w:lang w:val="en" w:eastAsia="zh-CN"/>
              </w:rPr>
            </w:pPr>
            <w:r>
              <w:rPr>
                <w:rFonts w:hint="eastAsia" w:ascii="仿宋_GB2312" w:hAnsi="仿宋_GB2312" w:eastAsia="仿宋_GB2312" w:cs="仿宋_GB2312"/>
                <w:i w:val="0"/>
                <w:color w:val="000000"/>
                <w:kern w:val="0"/>
                <w:sz w:val="24"/>
                <w:szCs w:val="24"/>
                <w:u w:val="none"/>
                <w:lang w:val="en-US" w:eastAsia="zh-CN" w:bidi="ar"/>
              </w:rPr>
              <w:t>2.拒不改正的，依法处罚。</w:t>
            </w:r>
          </w:p>
        </w:tc>
        <w:tc>
          <w:tcPr>
            <w:tcW w:w="153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8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自治区、设区市、县级广播电视行政部门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F32DF"/>
    <w:multiLevelType w:val="singleLevel"/>
    <w:tmpl w:val="57FF32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0C242C22"/>
    <w:rsid w:val="0C24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01 正文-首行缩进2字符"/>
    <w:next w:val="3"/>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50" w:afterLines="50"/>
      <w:ind w:firstLine="964" w:firstLineChars="200"/>
      <w:jc w:val="both"/>
    </w:pPr>
    <w:rPr>
      <w:rFonts w:ascii="Arial" w:hAnsi="Arial" w:eastAsia="宋体" w:cs="Times New Roman"/>
      <w:color w:val="000000"/>
      <w:kern w:val="2"/>
      <w:sz w:val="28"/>
      <w:szCs w:val="24"/>
      <w:lang w:val="en-US" w:eastAsia="zh-CN" w:bidi="ar-SA"/>
    </w:rPr>
  </w:style>
  <w:style w:type="paragraph" w:styleId="3">
    <w:name w:val="Plain Text"/>
    <w:next w:val="4"/>
    <w:unhideWhenUsed/>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eastAsia="宋体" w:cs="Times New Roman"/>
      <w:kern w:val="2"/>
      <w:sz w:val="21"/>
      <w:szCs w:val="21"/>
      <w:lang w:val="en-US" w:eastAsia="zh-CN" w:bidi="ar-SA"/>
    </w:rPr>
  </w:style>
  <w:style w:type="paragraph" w:styleId="4">
    <w:name w:val="header"/>
    <w:qFormat/>
    <w:uiPriority w:val="0"/>
    <w:pPr>
      <w:widowControl w:val="0"/>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footer"/>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2024-01-16T02:31:00Z</dcterms:created>
  <dc:creator>MT</dc:creator>
  <cp:lastModifiedBy>MT</cp:lastModifiedBy>
  <dcterms:modified xsi:type="dcterms:W3CDTF">2024-01-16T02:32:09Z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42DC926FCCF54F9A831064456D7B74EE_11</vt:lpwstr>
  </property>
</Properties>
</file>