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710"/>
        </w:tabs>
        <w:rPr>
          <w:rFonts w:ascii="Arial" w:hAnsi="Arial" w:cs="Arial"/>
          <w:color w:val="auto"/>
          <w:highlight w:val="none"/>
        </w:rPr>
      </w:pPr>
      <w:bookmarkStart w:id="64" w:name="_GoBack"/>
    </w:p>
    <w:p>
      <w:pPr>
        <w:tabs>
          <w:tab w:val="left" w:pos="1710"/>
        </w:tabs>
        <w:rPr>
          <w:rFonts w:ascii="Arial" w:hAnsi="Arial" w:cs="Arial"/>
          <w:color w:val="auto"/>
          <w:highlight w:val="none"/>
        </w:rPr>
      </w:pPr>
    </w:p>
    <w:p>
      <w:pPr>
        <w:tabs>
          <w:tab w:val="left" w:pos="1710"/>
        </w:tabs>
        <w:rPr>
          <w:rFonts w:ascii="Arial" w:hAnsi="Arial" w:cs="Arial"/>
          <w:color w:val="auto"/>
          <w:highlight w:val="none"/>
        </w:rPr>
      </w:pPr>
    </w:p>
    <w:p>
      <w:pPr>
        <w:tabs>
          <w:tab w:val="left" w:pos="1710"/>
        </w:tabs>
        <w:rPr>
          <w:rFonts w:ascii="Arial" w:hAnsi="Arial" w:cs="Arial"/>
          <w:color w:val="auto"/>
          <w:highlight w:val="none"/>
        </w:rPr>
      </w:pPr>
    </w:p>
    <w:p>
      <w:pPr>
        <w:tabs>
          <w:tab w:val="left" w:pos="1710"/>
        </w:tabs>
        <w:rPr>
          <w:rFonts w:ascii="Arial" w:hAnsi="Arial" w:cs="Arial"/>
          <w:color w:val="auto"/>
          <w:highlight w:val="none"/>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5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197" w:type="dxa"/>
            <w:gridSpan w:val="2"/>
            <w:tcBorders>
              <w:top w:val="nil"/>
              <w:left w:val="nil"/>
              <w:right w:val="nil"/>
            </w:tcBorders>
          </w:tcPr>
          <w:p>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谈  判  文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color w:val="auto"/>
                <w:sz w:val="32"/>
                <w:szCs w:val="32"/>
                <w:highlight w:val="none"/>
              </w:rPr>
            </w:pPr>
            <w:r>
              <w:rPr>
                <w:rFonts w:ascii="Arial" w:hAnsi="Arial" w:cs="Arial"/>
                <w:b/>
                <w:color w:val="auto"/>
                <w:sz w:val="32"/>
                <w:szCs w:val="32"/>
                <w:highlight w:val="none"/>
              </w:rPr>
              <w:t>项目名称：</w:t>
            </w:r>
          </w:p>
        </w:tc>
        <w:tc>
          <w:tcPr>
            <w:tcW w:w="5433" w:type="dxa"/>
            <w:vAlign w:val="center"/>
          </w:tcPr>
          <w:p>
            <w:pPr>
              <w:rPr>
                <w:rFonts w:ascii="Arial" w:hAnsi="Arial" w:cs="Arial"/>
                <w:b/>
                <w:color w:val="auto"/>
                <w:sz w:val="32"/>
                <w:szCs w:val="32"/>
                <w:highlight w:val="none"/>
              </w:rPr>
            </w:pPr>
            <w:r>
              <w:rPr>
                <w:rFonts w:hint="eastAsia"/>
                <w:b/>
                <w:color w:val="auto"/>
                <w:sz w:val="32"/>
                <w:szCs w:val="32"/>
                <w:highlight w:val="none"/>
              </w:rPr>
              <w:t>百色分中心2024年第三季度发射机备品备件采购项目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color w:val="auto"/>
                <w:sz w:val="32"/>
                <w:szCs w:val="32"/>
                <w:highlight w:val="none"/>
              </w:rPr>
            </w:pPr>
            <w:r>
              <w:rPr>
                <w:rFonts w:ascii="Arial" w:hAnsi="Arial" w:cs="Arial"/>
                <w:b/>
                <w:color w:val="auto"/>
                <w:sz w:val="32"/>
                <w:szCs w:val="32"/>
                <w:highlight w:val="none"/>
              </w:rPr>
              <w:t>项目编号：</w:t>
            </w:r>
          </w:p>
        </w:tc>
        <w:tc>
          <w:tcPr>
            <w:tcW w:w="5433" w:type="dxa"/>
            <w:vAlign w:val="center"/>
          </w:tcPr>
          <w:p>
            <w:pPr>
              <w:rPr>
                <w:rFonts w:hint="eastAsia" w:ascii="Arial" w:hAnsi="Arial" w:eastAsia="宋体" w:cs="Arial"/>
                <w:b/>
                <w:color w:val="auto"/>
                <w:sz w:val="32"/>
                <w:szCs w:val="32"/>
                <w:highlight w:val="none"/>
                <w:lang w:eastAsia="zh-CN"/>
              </w:rPr>
            </w:pPr>
            <w:r>
              <w:rPr>
                <w:rFonts w:hint="eastAsia"/>
                <w:b/>
                <w:color w:val="auto"/>
                <w:sz w:val="32"/>
                <w:szCs w:val="32"/>
                <w:highlight w:val="none"/>
                <w:lang w:eastAsia="zh-CN"/>
              </w:rPr>
              <w:t>GXJD-24114LL051558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64" w:type="dxa"/>
            <w:vAlign w:val="center"/>
          </w:tcPr>
          <w:p>
            <w:pPr>
              <w:rPr>
                <w:rFonts w:ascii="Arial" w:hAnsi="Arial" w:cs="Arial"/>
                <w:b/>
                <w:color w:val="auto"/>
                <w:sz w:val="32"/>
                <w:szCs w:val="32"/>
                <w:highlight w:val="none"/>
              </w:rPr>
            </w:pPr>
            <w:r>
              <w:rPr>
                <w:rFonts w:ascii="Arial" w:hAnsi="Arial" w:cs="Arial"/>
                <w:b/>
                <w:color w:val="auto"/>
                <w:sz w:val="32"/>
                <w:szCs w:val="32"/>
                <w:highlight w:val="none"/>
              </w:rPr>
              <w:t>联系电话：</w:t>
            </w:r>
          </w:p>
        </w:tc>
        <w:tc>
          <w:tcPr>
            <w:tcW w:w="5433" w:type="dxa"/>
            <w:vAlign w:val="center"/>
          </w:tcPr>
          <w:p>
            <w:pPr>
              <w:rPr>
                <w:rFonts w:ascii="Arial" w:hAnsi="Arial" w:cs="Arial"/>
                <w:b/>
                <w:color w:val="auto"/>
                <w:sz w:val="32"/>
                <w:szCs w:val="32"/>
                <w:highlight w:val="none"/>
              </w:rPr>
            </w:pPr>
            <w:r>
              <w:rPr>
                <w:rFonts w:hint="eastAsia"/>
                <w:b/>
                <w:color w:val="auto"/>
                <w:sz w:val="32"/>
                <w:szCs w:val="32"/>
                <w:highlight w:val="none"/>
              </w:rPr>
              <w:t>0776-2222600</w:t>
            </w:r>
          </w:p>
        </w:tc>
      </w:tr>
    </w:tbl>
    <w:p>
      <w:pPr>
        <w:tabs>
          <w:tab w:val="left" w:pos="1710"/>
        </w:tabs>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p>
      <w:pPr>
        <w:rPr>
          <w:rFonts w:ascii="Arial" w:hAnsi="Arial" w:cs="Arial"/>
          <w:color w:val="auto"/>
          <w:highlight w:val="none"/>
        </w:rPr>
      </w:pPr>
    </w:p>
    <w:tbl>
      <w:tblPr>
        <w:tblStyle w:val="41"/>
        <w:tblW w:w="0" w:type="auto"/>
        <w:jc w:val="center"/>
        <w:tblLayout w:type="fixed"/>
        <w:tblCellMar>
          <w:top w:w="0" w:type="dxa"/>
          <w:left w:w="108" w:type="dxa"/>
          <w:bottom w:w="0" w:type="dxa"/>
          <w:right w:w="108" w:type="dxa"/>
        </w:tblCellMar>
      </w:tblPr>
      <w:tblGrid>
        <w:gridCol w:w="2707"/>
        <w:gridCol w:w="6"/>
        <w:gridCol w:w="5571"/>
      </w:tblGrid>
      <w:tr>
        <w:tblPrEx>
          <w:tblCellMar>
            <w:top w:w="0" w:type="dxa"/>
            <w:left w:w="108" w:type="dxa"/>
            <w:bottom w:w="0" w:type="dxa"/>
            <w:right w:w="108" w:type="dxa"/>
          </w:tblCellMar>
        </w:tblPrEx>
        <w:trPr>
          <w:trHeight w:val="703" w:hRule="atLeast"/>
          <w:jc w:val="center"/>
        </w:trPr>
        <w:tc>
          <w:tcPr>
            <w:tcW w:w="2707" w:type="dxa"/>
            <w:vAlign w:val="center"/>
          </w:tcPr>
          <w:p>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 xml:space="preserve">  采购人：</w:t>
            </w:r>
          </w:p>
        </w:tc>
        <w:tc>
          <w:tcPr>
            <w:tcW w:w="5577" w:type="dxa"/>
            <w:gridSpan w:val="2"/>
            <w:vAlign w:val="center"/>
          </w:tcPr>
          <w:p>
            <w:pPr>
              <w:autoSpaceDE w:val="0"/>
              <w:autoSpaceDN w:val="0"/>
              <w:adjustRightInd w:val="0"/>
              <w:jc w:val="left"/>
              <w:rPr>
                <w:rFonts w:ascii="Arial" w:hAnsi="Arial" w:cs="Arial"/>
                <w:b/>
                <w:color w:val="auto"/>
                <w:sz w:val="32"/>
                <w:szCs w:val="32"/>
                <w:highlight w:val="none"/>
              </w:rPr>
            </w:pPr>
            <w:r>
              <w:rPr>
                <w:rFonts w:hint="eastAsia"/>
                <w:b/>
                <w:color w:val="auto"/>
                <w:sz w:val="32"/>
                <w:szCs w:val="32"/>
                <w:highlight w:val="none"/>
              </w:rPr>
              <w:t>广西广播电视技术中心百色分中心</w:t>
            </w:r>
          </w:p>
        </w:tc>
      </w:tr>
      <w:tr>
        <w:tblPrEx>
          <w:tblCellMar>
            <w:top w:w="0" w:type="dxa"/>
            <w:left w:w="108" w:type="dxa"/>
            <w:bottom w:w="0" w:type="dxa"/>
            <w:right w:w="108" w:type="dxa"/>
          </w:tblCellMar>
        </w:tblPrEx>
        <w:trPr>
          <w:trHeight w:val="703" w:hRule="atLeast"/>
          <w:jc w:val="center"/>
        </w:trPr>
        <w:tc>
          <w:tcPr>
            <w:tcW w:w="2713" w:type="dxa"/>
            <w:gridSpan w:val="2"/>
          </w:tcPr>
          <w:p>
            <w:pPr>
              <w:autoSpaceDE w:val="0"/>
              <w:autoSpaceDN w:val="0"/>
              <w:adjustRightInd w:val="0"/>
              <w:jc w:val="right"/>
              <w:rPr>
                <w:rFonts w:ascii="Arial" w:hAnsi="Arial" w:cs="Arial"/>
                <w:b/>
                <w:color w:val="auto"/>
                <w:sz w:val="32"/>
                <w:szCs w:val="32"/>
                <w:highlight w:val="none"/>
              </w:rPr>
            </w:pPr>
            <w:r>
              <w:rPr>
                <w:rFonts w:ascii="Arial" w:hAnsi="Arial" w:cs="Arial"/>
                <w:b/>
                <w:color w:val="auto"/>
                <w:sz w:val="32"/>
                <w:szCs w:val="32"/>
                <w:highlight w:val="none"/>
              </w:rPr>
              <w:t>采购代理机构：</w:t>
            </w:r>
          </w:p>
        </w:tc>
        <w:tc>
          <w:tcPr>
            <w:tcW w:w="5571" w:type="dxa"/>
            <w:vAlign w:val="center"/>
          </w:tcPr>
          <w:p>
            <w:pPr>
              <w:autoSpaceDE w:val="0"/>
              <w:autoSpaceDN w:val="0"/>
              <w:adjustRightInd w:val="0"/>
              <w:rPr>
                <w:rFonts w:ascii="Arial" w:hAnsi="Arial" w:cs="Arial"/>
                <w:b/>
                <w:color w:val="auto"/>
                <w:sz w:val="32"/>
                <w:szCs w:val="32"/>
                <w:highlight w:val="none"/>
                <w:u w:val="single"/>
              </w:rPr>
            </w:pPr>
            <w:r>
              <w:rPr>
                <w:rFonts w:ascii="Arial" w:hAnsi="Arial" w:cs="Arial"/>
                <w:b/>
                <w:color w:val="auto"/>
                <w:sz w:val="32"/>
                <w:szCs w:val="32"/>
                <w:highlight w:val="none"/>
              </w:rPr>
              <w:t>广西机电设备招标有限公司</w:t>
            </w:r>
          </w:p>
        </w:tc>
      </w:tr>
    </w:tbl>
    <w:p>
      <w:pPr>
        <w:rPr>
          <w:rFonts w:ascii="Arial" w:hAnsi="Arial" w:cs="Arial"/>
          <w:color w:val="auto"/>
          <w:highlight w:val="none"/>
        </w:rPr>
      </w:pPr>
    </w:p>
    <w:p>
      <w:pPr>
        <w:ind w:firstLine="321" w:firstLineChars="100"/>
        <w:jc w:val="center"/>
        <w:rPr>
          <w:rFonts w:ascii="Arial" w:hAnsi="Arial" w:cs="Arial"/>
          <w:color w:val="auto"/>
          <w:sz w:val="32"/>
          <w:szCs w:val="32"/>
          <w:highlight w:val="none"/>
        </w:rPr>
        <w:sectPr>
          <w:footerReference r:id="rId3" w:type="default"/>
          <w:pgSz w:w="11906" w:h="16838"/>
          <w:pgMar w:top="1418" w:right="1418" w:bottom="1246" w:left="1418" w:header="851" w:footer="992" w:gutter="0"/>
          <w:pgNumType w:start="0"/>
          <w:cols w:space="720" w:num="1"/>
          <w:titlePg/>
          <w:docGrid w:linePitch="312" w:charSpace="0"/>
        </w:sectPr>
      </w:pPr>
      <w:r>
        <w:rPr>
          <w:rFonts w:ascii="Arial" w:hAnsi="Arial" w:cs="Arial"/>
          <w:b/>
          <w:color w:val="auto"/>
          <w:sz w:val="32"/>
          <w:szCs w:val="32"/>
          <w:highlight w:val="none"/>
        </w:rPr>
        <w:t>202</w:t>
      </w:r>
      <w:r>
        <w:rPr>
          <w:rFonts w:hint="eastAsia" w:ascii="Arial" w:hAnsi="Arial" w:cs="Arial"/>
          <w:b/>
          <w:color w:val="auto"/>
          <w:sz w:val="32"/>
          <w:szCs w:val="32"/>
          <w:highlight w:val="none"/>
        </w:rPr>
        <w:t>4</w:t>
      </w:r>
      <w:r>
        <w:rPr>
          <w:rFonts w:ascii="Arial" w:hAnsi="Arial" w:cs="Arial"/>
          <w:b/>
          <w:color w:val="auto"/>
          <w:sz w:val="32"/>
          <w:szCs w:val="32"/>
          <w:highlight w:val="none"/>
        </w:rPr>
        <w:t>年</w:t>
      </w:r>
      <w:r>
        <w:rPr>
          <w:rFonts w:hint="eastAsia" w:ascii="Arial" w:hAnsi="Arial" w:cs="Arial"/>
          <w:b/>
          <w:color w:val="auto"/>
          <w:sz w:val="32"/>
          <w:szCs w:val="32"/>
          <w:highlight w:val="none"/>
        </w:rPr>
        <w:t>9</w:t>
      </w:r>
      <w:r>
        <w:rPr>
          <w:rFonts w:ascii="Arial" w:hAnsi="Arial" w:cs="Arial"/>
          <w:b/>
          <w:color w:val="auto"/>
          <w:sz w:val="32"/>
          <w:szCs w:val="32"/>
          <w:highlight w:val="none"/>
        </w:rPr>
        <w:t>月</w:t>
      </w:r>
    </w:p>
    <w:sdt>
      <w:sdtPr>
        <w:rPr>
          <w:rFonts w:ascii="宋体" w:hAnsi="宋体"/>
          <w:color w:val="auto"/>
          <w:sz w:val="28"/>
          <w:szCs w:val="28"/>
          <w:highlight w:val="none"/>
        </w:rPr>
        <w:id w:val="147462758"/>
        <w15:color w:val="DBDBDB"/>
        <w:docPartObj>
          <w:docPartGallery w:val="Table of Contents"/>
          <w:docPartUnique/>
        </w:docPartObj>
      </w:sdtPr>
      <w:sdtEndPr>
        <w:rPr>
          <w:rFonts w:ascii="宋体" w:hAnsi="宋体"/>
          <w:color w:val="auto"/>
          <w:sz w:val="28"/>
          <w:szCs w:val="28"/>
          <w:highlight w:val="none"/>
        </w:rPr>
      </w:sdtEndPr>
      <w:sdtContent>
        <w:p>
          <w:pPr>
            <w:spacing w:line="360" w:lineRule="auto"/>
            <w:jc w:val="center"/>
            <w:rPr>
              <w:b/>
              <w:bCs/>
              <w:color w:val="auto"/>
              <w:sz w:val="28"/>
              <w:szCs w:val="28"/>
              <w:highlight w:val="none"/>
            </w:rPr>
          </w:pPr>
          <w:r>
            <w:rPr>
              <w:rFonts w:ascii="宋体" w:hAnsi="宋体"/>
              <w:b/>
              <w:bCs/>
              <w:color w:val="auto"/>
              <w:sz w:val="28"/>
              <w:szCs w:val="28"/>
              <w:highlight w:val="none"/>
            </w:rPr>
            <w:t>目</w:t>
          </w:r>
          <w:r>
            <w:rPr>
              <w:rFonts w:hint="eastAsia" w:ascii="宋体" w:hAnsi="宋体"/>
              <w:b/>
              <w:bCs/>
              <w:color w:val="auto"/>
              <w:sz w:val="28"/>
              <w:szCs w:val="28"/>
              <w:highlight w:val="none"/>
            </w:rPr>
            <w:t xml:space="preserve"> </w:t>
          </w:r>
          <w:r>
            <w:rPr>
              <w:rFonts w:ascii="宋体" w:hAnsi="宋体"/>
              <w:b/>
              <w:bCs/>
              <w:color w:val="auto"/>
              <w:sz w:val="28"/>
              <w:szCs w:val="28"/>
              <w:highlight w:val="none"/>
            </w:rPr>
            <w:t>录</w:t>
          </w:r>
        </w:p>
        <w:p>
          <w:pPr>
            <w:pStyle w:val="178"/>
            <w:tabs>
              <w:tab w:val="right" w:leader="dot" w:pos="9639"/>
            </w:tabs>
            <w:spacing w:line="360" w:lineRule="auto"/>
            <w:rPr>
              <w:b/>
              <w:bCs/>
              <w:color w:val="auto"/>
              <w:sz w:val="24"/>
              <w:szCs w:val="24"/>
              <w:highlight w:val="none"/>
            </w:rPr>
          </w:pPr>
          <w:r>
            <w:rPr>
              <w:b/>
              <w:bCs/>
              <w:color w:val="auto"/>
              <w:sz w:val="24"/>
              <w:szCs w:val="24"/>
              <w:highlight w:val="none"/>
            </w:rPr>
            <w:fldChar w:fldCharType="begin"/>
          </w:r>
          <w:r>
            <w:rPr>
              <w:b/>
              <w:bCs/>
              <w:color w:val="auto"/>
              <w:sz w:val="24"/>
              <w:szCs w:val="24"/>
              <w:highlight w:val="none"/>
            </w:rPr>
            <w:instrText xml:space="preserve">TOC \o "1-1" \h \u </w:instrText>
          </w:r>
          <w:r>
            <w:rPr>
              <w:b/>
              <w:bCs/>
              <w:color w:val="auto"/>
              <w:sz w:val="24"/>
              <w:szCs w:val="24"/>
              <w:highlight w:val="none"/>
            </w:rPr>
            <w:fldChar w:fldCharType="separate"/>
          </w:r>
        </w:p>
        <w:p>
          <w:pPr>
            <w:pStyle w:val="178"/>
            <w:tabs>
              <w:tab w:val="right" w:leader="dot" w:pos="9639"/>
            </w:tabs>
            <w:spacing w:line="600" w:lineRule="auto"/>
            <w:rPr>
              <w:b/>
              <w:bCs/>
              <w:color w:val="auto"/>
              <w:sz w:val="24"/>
              <w:szCs w:val="24"/>
              <w:highlight w:val="none"/>
            </w:rPr>
          </w:pPr>
          <w:r>
            <w:rPr>
              <w:color w:val="auto"/>
              <w:highlight w:val="none"/>
            </w:rPr>
            <w:fldChar w:fldCharType="begin"/>
          </w:r>
          <w:r>
            <w:rPr>
              <w:color w:val="auto"/>
              <w:highlight w:val="none"/>
            </w:rPr>
            <w:instrText xml:space="preserve"> HYPERLINK \l "_Toc4072" </w:instrText>
          </w:r>
          <w:r>
            <w:rPr>
              <w:color w:val="auto"/>
              <w:highlight w:val="none"/>
            </w:rPr>
            <w:fldChar w:fldCharType="separate"/>
          </w:r>
          <w:r>
            <w:rPr>
              <w:rFonts w:ascii="Arial" w:hAnsi="Arial" w:cs="Arial"/>
              <w:b/>
              <w:bCs/>
              <w:color w:val="auto"/>
              <w:sz w:val="24"/>
              <w:szCs w:val="24"/>
              <w:highlight w:val="none"/>
            </w:rPr>
            <w:t>第一章  竞争性谈判公告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_Toc4072 \h </w:instrText>
          </w:r>
          <w:r>
            <w:rPr>
              <w:b/>
              <w:bCs/>
              <w:color w:val="auto"/>
              <w:sz w:val="24"/>
              <w:szCs w:val="24"/>
              <w:highlight w:val="none"/>
            </w:rPr>
            <w:fldChar w:fldCharType="separate"/>
          </w:r>
          <w:r>
            <w:rPr>
              <w:b/>
              <w:bCs/>
              <w:color w:val="auto"/>
              <w:sz w:val="24"/>
              <w:szCs w:val="24"/>
              <w:highlight w:val="none"/>
            </w:rPr>
            <w:t>1</w:t>
          </w:r>
          <w:r>
            <w:rPr>
              <w:b/>
              <w:bCs/>
              <w:color w:val="auto"/>
              <w:sz w:val="24"/>
              <w:szCs w:val="24"/>
              <w:highlight w:val="none"/>
            </w:rPr>
            <w:fldChar w:fldCharType="end"/>
          </w:r>
          <w:r>
            <w:rPr>
              <w:b/>
              <w:bCs/>
              <w:color w:val="auto"/>
              <w:sz w:val="24"/>
              <w:szCs w:val="24"/>
              <w:highlight w:val="none"/>
            </w:rPr>
            <w:fldChar w:fldCharType="end"/>
          </w:r>
        </w:p>
        <w:p>
          <w:pPr>
            <w:pStyle w:val="178"/>
            <w:tabs>
              <w:tab w:val="right" w:leader="dot" w:pos="9639"/>
            </w:tabs>
            <w:spacing w:line="600" w:lineRule="auto"/>
            <w:rPr>
              <w:b/>
              <w:bCs/>
              <w:color w:val="auto"/>
              <w:sz w:val="24"/>
              <w:szCs w:val="24"/>
              <w:highlight w:val="none"/>
            </w:rPr>
          </w:pPr>
          <w:r>
            <w:rPr>
              <w:color w:val="auto"/>
              <w:highlight w:val="none"/>
            </w:rPr>
            <w:fldChar w:fldCharType="begin"/>
          </w:r>
          <w:r>
            <w:rPr>
              <w:color w:val="auto"/>
              <w:highlight w:val="none"/>
            </w:rPr>
            <w:instrText xml:space="preserve"> HYPERLINK \l "_Toc15196" </w:instrText>
          </w:r>
          <w:r>
            <w:rPr>
              <w:color w:val="auto"/>
              <w:highlight w:val="none"/>
            </w:rPr>
            <w:fldChar w:fldCharType="separate"/>
          </w:r>
          <w:r>
            <w:rPr>
              <w:rFonts w:ascii="Arial" w:hAnsi="Arial" w:cs="Arial"/>
              <w:b/>
              <w:bCs/>
              <w:color w:val="auto"/>
              <w:sz w:val="24"/>
              <w:szCs w:val="24"/>
              <w:highlight w:val="none"/>
            </w:rPr>
            <w:t>第二章  项目采购需求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_Toc15196 \h </w:instrText>
          </w:r>
          <w:r>
            <w:rPr>
              <w:b/>
              <w:bCs/>
              <w:color w:val="auto"/>
              <w:sz w:val="24"/>
              <w:szCs w:val="24"/>
              <w:highlight w:val="none"/>
            </w:rPr>
            <w:fldChar w:fldCharType="separate"/>
          </w:r>
          <w:r>
            <w:rPr>
              <w:b/>
              <w:bCs/>
              <w:color w:val="auto"/>
              <w:sz w:val="24"/>
              <w:szCs w:val="24"/>
              <w:highlight w:val="none"/>
            </w:rPr>
            <w:t>3</w:t>
          </w:r>
          <w:r>
            <w:rPr>
              <w:b/>
              <w:bCs/>
              <w:color w:val="auto"/>
              <w:sz w:val="24"/>
              <w:szCs w:val="24"/>
              <w:highlight w:val="none"/>
            </w:rPr>
            <w:fldChar w:fldCharType="end"/>
          </w:r>
          <w:r>
            <w:rPr>
              <w:b/>
              <w:bCs/>
              <w:color w:val="auto"/>
              <w:sz w:val="24"/>
              <w:szCs w:val="24"/>
              <w:highlight w:val="none"/>
            </w:rPr>
            <w:fldChar w:fldCharType="end"/>
          </w:r>
        </w:p>
        <w:p>
          <w:pPr>
            <w:pStyle w:val="178"/>
            <w:tabs>
              <w:tab w:val="right" w:leader="dot" w:pos="9639"/>
            </w:tabs>
            <w:spacing w:line="600" w:lineRule="auto"/>
            <w:rPr>
              <w:b/>
              <w:bCs/>
              <w:color w:val="auto"/>
              <w:sz w:val="24"/>
              <w:szCs w:val="24"/>
              <w:highlight w:val="none"/>
            </w:rPr>
          </w:pPr>
          <w:r>
            <w:rPr>
              <w:color w:val="auto"/>
              <w:highlight w:val="none"/>
            </w:rPr>
            <w:fldChar w:fldCharType="begin"/>
          </w:r>
          <w:r>
            <w:rPr>
              <w:color w:val="auto"/>
              <w:highlight w:val="none"/>
            </w:rPr>
            <w:instrText xml:space="preserve"> HYPERLINK \l "_Toc20186" </w:instrText>
          </w:r>
          <w:r>
            <w:rPr>
              <w:color w:val="auto"/>
              <w:highlight w:val="none"/>
            </w:rPr>
            <w:fldChar w:fldCharType="separate"/>
          </w:r>
          <w:r>
            <w:rPr>
              <w:rFonts w:ascii="Arial" w:hAnsi="Arial" w:cs="Arial"/>
              <w:b/>
              <w:bCs/>
              <w:color w:val="auto"/>
              <w:sz w:val="24"/>
              <w:szCs w:val="24"/>
              <w:highlight w:val="none"/>
            </w:rPr>
            <w:t>第三章  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_Toc20186 \h </w:instrText>
          </w:r>
          <w:r>
            <w:rPr>
              <w:b/>
              <w:bCs/>
              <w:color w:val="auto"/>
              <w:sz w:val="24"/>
              <w:szCs w:val="24"/>
              <w:highlight w:val="none"/>
            </w:rPr>
            <w:fldChar w:fldCharType="separate"/>
          </w:r>
          <w:r>
            <w:rPr>
              <w:b/>
              <w:bCs/>
              <w:color w:val="auto"/>
              <w:sz w:val="24"/>
              <w:szCs w:val="24"/>
              <w:highlight w:val="none"/>
            </w:rPr>
            <w:t>10</w:t>
          </w:r>
          <w:r>
            <w:rPr>
              <w:b/>
              <w:bCs/>
              <w:color w:val="auto"/>
              <w:sz w:val="24"/>
              <w:szCs w:val="24"/>
              <w:highlight w:val="none"/>
            </w:rPr>
            <w:fldChar w:fldCharType="end"/>
          </w:r>
          <w:r>
            <w:rPr>
              <w:b/>
              <w:bCs/>
              <w:color w:val="auto"/>
              <w:sz w:val="24"/>
              <w:szCs w:val="24"/>
              <w:highlight w:val="none"/>
            </w:rPr>
            <w:fldChar w:fldCharType="end"/>
          </w:r>
        </w:p>
        <w:p>
          <w:pPr>
            <w:pStyle w:val="178"/>
            <w:tabs>
              <w:tab w:val="right" w:leader="dot" w:pos="9639"/>
            </w:tabs>
            <w:spacing w:line="600" w:lineRule="auto"/>
            <w:rPr>
              <w:b/>
              <w:bCs/>
              <w:color w:val="auto"/>
              <w:sz w:val="24"/>
              <w:szCs w:val="24"/>
              <w:highlight w:val="none"/>
            </w:rPr>
          </w:pPr>
          <w:r>
            <w:rPr>
              <w:color w:val="auto"/>
              <w:highlight w:val="none"/>
            </w:rPr>
            <w:fldChar w:fldCharType="begin"/>
          </w:r>
          <w:r>
            <w:rPr>
              <w:color w:val="auto"/>
              <w:highlight w:val="none"/>
            </w:rPr>
            <w:instrText xml:space="preserve"> HYPERLINK \l "_Toc12413" </w:instrText>
          </w:r>
          <w:r>
            <w:rPr>
              <w:color w:val="auto"/>
              <w:highlight w:val="none"/>
            </w:rPr>
            <w:fldChar w:fldCharType="separate"/>
          </w:r>
          <w:r>
            <w:rPr>
              <w:rFonts w:ascii="Arial" w:hAnsi="Arial" w:cs="Arial"/>
              <w:b/>
              <w:bCs/>
              <w:color w:val="auto"/>
              <w:sz w:val="24"/>
              <w:szCs w:val="24"/>
              <w:highlight w:val="none"/>
            </w:rPr>
            <w:t>第四章  评审方法及评审标准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_Toc12413 \h </w:instrText>
          </w:r>
          <w:r>
            <w:rPr>
              <w:b/>
              <w:bCs/>
              <w:color w:val="auto"/>
              <w:sz w:val="24"/>
              <w:szCs w:val="24"/>
              <w:highlight w:val="none"/>
            </w:rPr>
            <w:fldChar w:fldCharType="separate"/>
          </w:r>
          <w:r>
            <w:rPr>
              <w:b/>
              <w:bCs/>
              <w:color w:val="auto"/>
              <w:sz w:val="24"/>
              <w:szCs w:val="24"/>
              <w:highlight w:val="none"/>
            </w:rPr>
            <w:t>16</w:t>
          </w:r>
          <w:r>
            <w:rPr>
              <w:b/>
              <w:bCs/>
              <w:color w:val="auto"/>
              <w:sz w:val="24"/>
              <w:szCs w:val="24"/>
              <w:highlight w:val="none"/>
            </w:rPr>
            <w:fldChar w:fldCharType="end"/>
          </w:r>
          <w:r>
            <w:rPr>
              <w:b/>
              <w:bCs/>
              <w:color w:val="auto"/>
              <w:sz w:val="24"/>
              <w:szCs w:val="24"/>
              <w:highlight w:val="none"/>
            </w:rPr>
            <w:fldChar w:fldCharType="end"/>
          </w:r>
        </w:p>
        <w:p>
          <w:pPr>
            <w:pStyle w:val="178"/>
            <w:tabs>
              <w:tab w:val="right" w:leader="dot" w:pos="9639"/>
            </w:tabs>
            <w:spacing w:line="600" w:lineRule="auto"/>
            <w:rPr>
              <w:b/>
              <w:bCs/>
              <w:color w:val="auto"/>
              <w:sz w:val="24"/>
              <w:szCs w:val="24"/>
              <w:highlight w:val="none"/>
            </w:rPr>
          </w:pPr>
          <w:r>
            <w:rPr>
              <w:color w:val="auto"/>
              <w:highlight w:val="none"/>
            </w:rPr>
            <w:fldChar w:fldCharType="begin"/>
          </w:r>
          <w:r>
            <w:rPr>
              <w:color w:val="auto"/>
              <w:highlight w:val="none"/>
            </w:rPr>
            <w:instrText xml:space="preserve"> HYPERLINK \l "_Toc24110" </w:instrText>
          </w:r>
          <w:r>
            <w:rPr>
              <w:color w:val="auto"/>
              <w:highlight w:val="none"/>
            </w:rPr>
            <w:fldChar w:fldCharType="separate"/>
          </w:r>
          <w:r>
            <w:rPr>
              <w:rFonts w:ascii="Arial" w:hAnsi="Arial" w:cs="Arial"/>
              <w:b/>
              <w:bCs/>
              <w:color w:val="auto"/>
              <w:sz w:val="24"/>
              <w:szCs w:val="24"/>
              <w:highlight w:val="none"/>
            </w:rPr>
            <w:t>第五章  合同主要条款格式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_Toc24110 \h </w:instrText>
          </w:r>
          <w:r>
            <w:rPr>
              <w:b/>
              <w:bCs/>
              <w:color w:val="auto"/>
              <w:sz w:val="24"/>
              <w:szCs w:val="24"/>
              <w:highlight w:val="none"/>
            </w:rPr>
            <w:fldChar w:fldCharType="separate"/>
          </w:r>
          <w:r>
            <w:rPr>
              <w:b/>
              <w:bCs/>
              <w:color w:val="auto"/>
              <w:sz w:val="24"/>
              <w:szCs w:val="24"/>
              <w:highlight w:val="none"/>
            </w:rPr>
            <w:t>21</w:t>
          </w:r>
          <w:r>
            <w:rPr>
              <w:b/>
              <w:bCs/>
              <w:color w:val="auto"/>
              <w:sz w:val="24"/>
              <w:szCs w:val="24"/>
              <w:highlight w:val="none"/>
            </w:rPr>
            <w:fldChar w:fldCharType="end"/>
          </w:r>
          <w:r>
            <w:rPr>
              <w:b/>
              <w:bCs/>
              <w:color w:val="auto"/>
              <w:sz w:val="24"/>
              <w:szCs w:val="24"/>
              <w:highlight w:val="none"/>
            </w:rPr>
            <w:fldChar w:fldCharType="end"/>
          </w:r>
        </w:p>
        <w:p>
          <w:pPr>
            <w:pStyle w:val="178"/>
            <w:tabs>
              <w:tab w:val="right" w:leader="dot" w:pos="9639"/>
            </w:tabs>
            <w:spacing w:line="600" w:lineRule="auto"/>
            <w:rPr>
              <w:b/>
              <w:bCs/>
              <w:color w:val="auto"/>
              <w:sz w:val="24"/>
              <w:szCs w:val="24"/>
              <w:highlight w:val="none"/>
            </w:rPr>
          </w:pPr>
          <w:r>
            <w:rPr>
              <w:color w:val="auto"/>
              <w:highlight w:val="none"/>
            </w:rPr>
            <w:fldChar w:fldCharType="begin"/>
          </w:r>
          <w:r>
            <w:rPr>
              <w:color w:val="auto"/>
              <w:highlight w:val="none"/>
            </w:rPr>
            <w:instrText xml:space="preserve"> HYPERLINK \l "_Toc10369" </w:instrText>
          </w:r>
          <w:r>
            <w:rPr>
              <w:color w:val="auto"/>
              <w:highlight w:val="none"/>
            </w:rPr>
            <w:fldChar w:fldCharType="separate"/>
          </w:r>
          <w:r>
            <w:rPr>
              <w:rFonts w:ascii="Arial" w:hAnsi="Arial" w:cs="Arial"/>
              <w:b/>
              <w:bCs/>
              <w:color w:val="auto"/>
              <w:sz w:val="24"/>
              <w:szCs w:val="24"/>
              <w:highlight w:val="none"/>
            </w:rPr>
            <w:t>第六章  响应文件格式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_Toc10369 \h </w:instrText>
          </w:r>
          <w:r>
            <w:rPr>
              <w:b/>
              <w:bCs/>
              <w:color w:val="auto"/>
              <w:sz w:val="24"/>
              <w:szCs w:val="24"/>
              <w:highlight w:val="none"/>
            </w:rPr>
            <w:fldChar w:fldCharType="separate"/>
          </w:r>
          <w:r>
            <w:rPr>
              <w:b/>
              <w:bCs/>
              <w:color w:val="auto"/>
              <w:sz w:val="24"/>
              <w:szCs w:val="24"/>
              <w:highlight w:val="none"/>
            </w:rPr>
            <w:t>32</w:t>
          </w:r>
          <w:r>
            <w:rPr>
              <w:b/>
              <w:bCs/>
              <w:color w:val="auto"/>
              <w:sz w:val="24"/>
              <w:szCs w:val="24"/>
              <w:highlight w:val="none"/>
            </w:rPr>
            <w:fldChar w:fldCharType="end"/>
          </w:r>
          <w:r>
            <w:rPr>
              <w:b/>
              <w:bCs/>
              <w:color w:val="auto"/>
              <w:sz w:val="24"/>
              <w:szCs w:val="24"/>
              <w:highlight w:val="none"/>
            </w:rPr>
            <w:fldChar w:fldCharType="end"/>
          </w:r>
        </w:p>
        <w:p>
          <w:pPr>
            <w:pStyle w:val="178"/>
            <w:tabs>
              <w:tab w:val="right" w:leader="dot" w:pos="9639"/>
            </w:tabs>
            <w:spacing w:line="360" w:lineRule="auto"/>
            <w:rPr>
              <w:b/>
              <w:bCs/>
              <w:color w:val="auto"/>
              <w:sz w:val="24"/>
              <w:szCs w:val="24"/>
              <w:highlight w:val="none"/>
            </w:rPr>
          </w:pPr>
        </w:p>
        <w:p>
          <w:pPr>
            <w:spacing w:line="360" w:lineRule="auto"/>
            <w:rPr>
              <w:color w:val="auto"/>
              <w:highlight w:val="none"/>
            </w:rPr>
          </w:pPr>
          <w:r>
            <w:rPr>
              <w:b/>
              <w:bCs/>
              <w:color w:val="auto"/>
              <w:sz w:val="24"/>
              <w:highlight w:val="none"/>
            </w:rPr>
            <w:fldChar w:fldCharType="end"/>
          </w:r>
        </w:p>
      </w:sdtContent>
    </w:sdt>
    <w:p>
      <w:pPr>
        <w:pStyle w:val="23"/>
        <w:snapToGrid w:val="0"/>
        <w:spacing w:before="120" w:after="120" w:line="320" w:lineRule="exact"/>
        <w:jc w:val="center"/>
        <w:outlineLvl w:val="0"/>
        <w:rPr>
          <w:rFonts w:ascii="Arial" w:hAnsi="Arial" w:cs="Arial"/>
          <w:color w:val="auto"/>
          <w:sz w:val="32"/>
          <w:szCs w:val="32"/>
          <w:highlight w:val="none"/>
        </w:rPr>
        <w:sectPr>
          <w:headerReference r:id="rId5" w:type="first"/>
          <w:footerReference r:id="rId7" w:type="first"/>
          <w:headerReference r:id="rId4" w:type="default"/>
          <w:footerReference r:id="rId6" w:type="default"/>
          <w:pgSz w:w="11906" w:h="16838"/>
          <w:pgMar w:top="850" w:right="1133" w:bottom="850" w:left="1134" w:header="454" w:footer="454" w:gutter="0"/>
          <w:cols w:space="720" w:num="1"/>
          <w:titlePg/>
          <w:docGrid w:linePitch="312" w:charSpace="0"/>
        </w:sectPr>
      </w:pPr>
      <w:bookmarkStart w:id="0" w:name="_Toc4072"/>
    </w:p>
    <w:p>
      <w:pPr>
        <w:pStyle w:val="23"/>
        <w:snapToGrid w:val="0"/>
        <w:spacing w:before="120" w:after="120" w:line="320" w:lineRule="exact"/>
        <w:jc w:val="center"/>
        <w:outlineLvl w:val="0"/>
        <w:rPr>
          <w:rFonts w:ascii="Arial" w:hAnsi="Arial" w:cs="Arial"/>
          <w:color w:val="auto"/>
          <w:sz w:val="32"/>
          <w:szCs w:val="32"/>
          <w:highlight w:val="none"/>
        </w:rPr>
      </w:pPr>
      <w:r>
        <w:rPr>
          <w:rFonts w:ascii="Arial" w:hAnsi="Arial" w:cs="Arial"/>
          <w:color w:val="auto"/>
          <w:sz w:val="32"/>
          <w:szCs w:val="32"/>
          <w:highlight w:val="none"/>
        </w:rPr>
        <w:t>第一章  竞争性谈判公告</w:t>
      </w:r>
      <w:bookmarkEnd w:id="0"/>
    </w:p>
    <w:p>
      <w:pPr>
        <w:spacing w:line="400" w:lineRule="exact"/>
        <w:jc w:val="center"/>
        <w:rPr>
          <w:rFonts w:ascii="Arial" w:hAnsi="Arial" w:cs="Arial"/>
          <w:color w:val="auto"/>
          <w:kern w:val="0"/>
          <w:sz w:val="24"/>
          <w:highlight w:val="none"/>
        </w:rPr>
      </w:pPr>
      <w:r>
        <w:rPr>
          <w:rFonts w:ascii="Arial" w:hAnsi="Arial" w:cs="Arial"/>
          <w:color w:val="auto"/>
          <w:kern w:val="0"/>
          <w:sz w:val="24"/>
          <w:highlight w:val="none"/>
        </w:rPr>
        <w:t>广西机电设备招标有限公司关于</w:t>
      </w:r>
      <w:r>
        <w:rPr>
          <w:rFonts w:hint="eastAsia"/>
          <w:color w:val="auto"/>
          <w:sz w:val="24"/>
          <w:highlight w:val="none"/>
        </w:rPr>
        <w:t>百色分中心2024年第三季度发射机备品备件采购项目</w:t>
      </w:r>
    </w:p>
    <w:p>
      <w:pPr>
        <w:spacing w:line="400" w:lineRule="exact"/>
        <w:jc w:val="center"/>
        <w:rPr>
          <w:rFonts w:ascii="Arial" w:hAnsi="Arial" w:cs="Arial"/>
          <w:b/>
          <w:color w:val="auto"/>
          <w:sz w:val="24"/>
          <w:highlight w:val="none"/>
        </w:rPr>
      </w:pPr>
      <w:r>
        <w:rPr>
          <w:color w:val="auto"/>
          <w:sz w:val="24"/>
          <w:highlight w:val="none"/>
        </w:rPr>
        <w:t>(</w:t>
      </w:r>
      <w:r>
        <w:rPr>
          <w:rFonts w:hint="eastAsia"/>
          <w:color w:val="auto"/>
          <w:sz w:val="24"/>
          <w:highlight w:val="none"/>
          <w:lang w:eastAsia="zh-CN"/>
        </w:rPr>
        <w:t>GXJD-24114LL051558</w:t>
      </w:r>
      <w:r>
        <w:rPr>
          <w:color w:val="auto"/>
          <w:sz w:val="24"/>
          <w:highlight w:val="none"/>
        </w:rPr>
        <w:t>)</w:t>
      </w:r>
      <w:r>
        <w:rPr>
          <w:rFonts w:ascii="Arial" w:hAnsi="Arial" w:cs="Arial"/>
          <w:color w:val="auto"/>
          <w:kern w:val="0"/>
          <w:sz w:val="24"/>
          <w:highlight w:val="none"/>
        </w:rPr>
        <w:t>竞争性谈判公告</w:t>
      </w:r>
    </w:p>
    <w:p>
      <w:pPr>
        <w:ind w:firstLine="409" w:firstLineChars="195"/>
        <w:jc w:val="left"/>
        <w:rPr>
          <w:rFonts w:ascii="Arial" w:hAnsi="Arial" w:cs="Arial"/>
          <w:color w:val="auto"/>
          <w:kern w:val="0"/>
          <w:szCs w:val="21"/>
          <w:highlight w:val="none"/>
        </w:rPr>
      </w:pPr>
    </w:p>
    <w:p>
      <w:pPr>
        <w:spacing w:line="312" w:lineRule="auto"/>
        <w:ind w:firstLine="420" w:firstLineChars="200"/>
        <w:jc w:val="left"/>
        <w:rPr>
          <w:rFonts w:ascii="Arial" w:hAnsi="Arial" w:cs="Arial"/>
          <w:color w:val="auto"/>
          <w:kern w:val="0"/>
          <w:szCs w:val="21"/>
          <w:highlight w:val="none"/>
        </w:rPr>
      </w:pPr>
      <w:bookmarkStart w:id="1" w:name="_Hlk51059357"/>
      <w:r>
        <w:rPr>
          <w:rFonts w:ascii="Arial" w:hAnsi="Arial" w:cs="Arial"/>
          <w:color w:val="auto"/>
          <w:kern w:val="0"/>
          <w:szCs w:val="21"/>
          <w:highlight w:val="none"/>
        </w:rPr>
        <w:t>广西机电设备招标有限公司受</w:t>
      </w:r>
      <w:r>
        <w:rPr>
          <w:rFonts w:hint="eastAsia" w:ascii="Arial" w:hAnsi="Arial" w:cs="Arial"/>
          <w:color w:val="auto"/>
          <w:kern w:val="0"/>
          <w:szCs w:val="21"/>
          <w:highlight w:val="none"/>
        </w:rPr>
        <w:t>广西广播电视技术中心百色分中心</w:t>
      </w:r>
      <w:r>
        <w:rPr>
          <w:rFonts w:ascii="Arial" w:hAnsi="Arial" w:cs="Arial"/>
          <w:color w:val="auto"/>
          <w:kern w:val="0"/>
          <w:szCs w:val="21"/>
          <w:highlight w:val="none"/>
        </w:rPr>
        <w:t>委托，现对</w:t>
      </w:r>
      <w:r>
        <w:rPr>
          <w:rFonts w:hint="eastAsia" w:ascii="Arial" w:hAnsi="Arial" w:cs="Arial"/>
          <w:color w:val="auto"/>
          <w:kern w:val="0"/>
          <w:szCs w:val="21"/>
          <w:highlight w:val="none"/>
        </w:rPr>
        <w:t>百色分中心2024年第三季度发射机备品备件采购项目</w:t>
      </w:r>
      <w:r>
        <w:rPr>
          <w:rFonts w:ascii="Arial" w:hAnsi="Arial" w:cs="Arial"/>
          <w:color w:val="auto"/>
          <w:kern w:val="0"/>
          <w:szCs w:val="21"/>
          <w:highlight w:val="none"/>
        </w:rPr>
        <w:t>进行竞争性谈判。本项目供应商的产生方式为</w:t>
      </w:r>
      <w:r>
        <w:rPr>
          <w:rFonts w:ascii="Arial" w:hAnsi="Arial" w:cs="Arial"/>
          <w:color w:val="auto"/>
          <w:highlight w:val="none"/>
        </w:rPr>
        <w:t>发布公告征集</w:t>
      </w:r>
      <w:r>
        <w:rPr>
          <w:rFonts w:ascii="Arial" w:hAnsi="Arial" w:eastAsia="楷体_GB2312" w:cs="Arial"/>
          <w:b/>
          <w:color w:val="auto"/>
          <w:szCs w:val="21"/>
          <w:highlight w:val="none"/>
        </w:rPr>
        <w:t>，</w:t>
      </w:r>
      <w:r>
        <w:rPr>
          <w:rFonts w:ascii="Arial" w:hAnsi="Arial" w:cs="Arial"/>
          <w:color w:val="auto"/>
          <w:kern w:val="0"/>
          <w:szCs w:val="21"/>
          <w:highlight w:val="none"/>
        </w:rPr>
        <w:t>欢迎符合条件的供应商前来参加谈判活动。</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一、项目名称：</w:t>
      </w:r>
      <w:r>
        <w:rPr>
          <w:rFonts w:hint="eastAsia" w:ascii="Arial" w:hAnsi="Arial" w:cs="Arial"/>
          <w:color w:val="auto"/>
          <w:kern w:val="0"/>
          <w:szCs w:val="21"/>
          <w:highlight w:val="none"/>
        </w:rPr>
        <w:t>百色分中心2024年第三季度发射机备品备件采购项目</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二、项目编号：</w:t>
      </w:r>
      <w:r>
        <w:rPr>
          <w:rFonts w:hint="eastAsia" w:ascii="Arial" w:hAnsi="Arial" w:cs="Arial"/>
          <w:color w:val="auto"/>
          <w:highlight w:val="none"/>
          <w:lang w:eastAsia="zh-CN"/>
        </w:rPr>
        <w:t>GXJD-24114LL051558</w:t>
      </w:r>
      <w:r>
        <w:rPr>
          <w:rFonts w:ascii="Arial" w:hAnsi="Arial" w:cs="Arial"/>
          <w:color w:val="auto"/>
          <w:highlight w:val="none"/>
        </w:rPr>
        <w:t xml:space="preserve"> </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三、采购项目的名称、数量、简要规格描述或项目基本概况介绍：</w:t>
      </w:r>
      <w:r>
        <w:rPr>
          <w:rFonts w:hint="eastAsia" w:ascii="Arial" w:hAnsi="Arial" w:cs="Arial"/>
          <w:color w:val="auto"/>
          <w:kern w:val="0"/>
          <w:szCs w:val="21"/>
          <w:highlight w:val="none"/>
        </w:rPr>
        <w:t>采购2024年第三季度发射机备品备件一批，</w:t>
      </w:r>
      <w:r>
        <w:rPr>
          <w:rFonts w:ascii="Arial" w:hAnsi="Arial" w:cs="Arial"/>
          <w:color w:val="auto"/>
          <w:kern w:val="0"/>
          <w:szCs w:val="21"/>
          <w:highlight w:val="none"/>
        </w:rPr>
        <w:t>如需进一步了解详细内容，详见谈判文件。</w:t>
      </w:r>
    </w:p>
    <w:p>
      <w:pPr>
        <w:tabs>
          <w:tab w:val="left" w:pos="5660"/>
        </w:tabs>
        <w:autoSpaceDE w:val="0"/>
        <w:autoSpaceDN w:val="0"/>
        <w:adjustRightInd w:val="0"/>
        <w:snapToGrid w:val="0"/>
        <w:spacing w:line="312" w:lineRule="auto"/>
        <w:ind w:firstLine="420" w:firstLineChars="200"/>
        <w:jc w:val="left"/>
        <w:rPr>
          <w:rFonts w:ascii="Arial" w:hAnsi="Arial" w:cs="Arial"/>
          <w:color w:val="auto"/>
          <w:szCs w:val="21"/>
          <w:highlight w:val="none"/>
        </w:rPr>
      </w:pPr>
      <w:r>
        <w:rPr>
          <w:rFonts w:ascii="Arial" w:hAnsi="Arial" w:cs="Arial"/>
          <w:color w:val="auto"/>
          <w:szCs w:val="21"/>
          <w:highlight w:val="none"/>
        </w:rPr>
        <w:t>四、项目预算金额：</w:t>
      </w:r>
      <w:r>
        <w:rPr>
          <w:rFonts w:ascii="Arial" w:hAnsi="Arial" w:cs="Arial"/>
          <w:color w:val="auto"/>
          <w:kern w:val="0"/>
          <w:szCs w:val="21"/>
          <w:highlight w:val="none"/>
        </w:rPr>
        <w:t>人民币</w:t>
      </w:r>
      <w:r>
        <w:rPr>
          <w:rFonts w:hint="eastAsia" w:ascii="Arial" w:hAnsi="Arial" w:cs="Arial"/>
          <w:color w:val="auto"/>
          <w:kern w:val="0"/>
          <w:szCs w:val="21"/>
          <w:highlight w:val="none"/>
          <w:lang w:val="en-US" w:eastAsia="zh-CN"/>
        </w:rPr>
        <w:t>肆拾肆万零捌佰捌拾元整</w:t>
      </w:r>
      <w:r>
        <w:rPr>
          <w:rFonts w:ascii="Arial" w:hAnsi="Arial" w:cs="Arial"/>
          <w:color w:val="auto"/>
          <w:kern w:val="0"/>
          <w:szCs w:val="21"/>
          <w:highlight w:val="none"/>
        </w:rPr>
        <w:t>（¥</w:t>
      </w:r>
      <w:r>
        <w:rPr>
          <w:rFonts w:hint="eastAsia" w:ascii="Arial" w:hAnsi="Arial" w:cs="Arial"/>
          <w:color w:val="auto"/>
          <w:kern w:val="0"/>
          <w:szCs w:val="21"/>
          <w:highlight w:val="none"/>
        </w:rPr>
        <w:t>440880.00</w:t>
      </w:r>
      <w:r>
        <w:rPr>
          <w:rFonts w:ascii="Arial" w:hAnsi="Arial" w:cs="Arial"/>
          <w:color w:val="auto"/>
          <w:kern w:val="0"/>
          <w:szCs w:val="21"/>
          <w:highlight w:val="none"/>
        </w:rPr>
        <w:t>）</w:t>
      </w:r>
      <w:r>
        <w:rPr>
          <w:rFonts w:hint="eastAsia" w:ascii="Arial" w:hAnsi="Arial" w:cs="Arial"/>
          <w:color w:val="auto"/>
          <w:kern w:val="0"/>
          <w:szCs w:val="21"/>
          <w:highlight w:val="none"/>
        </w:rPr>
        <w:t>。</w:t>
      </w:r>
    </w:p>
    <w:p>
      <w:pPr>
        <w:tabs>
          <w:tab w:val="left" w:pos="5660"/>
        </w:tabs>
        <w:autoSpaceDE w:val="0"/>
        <w:autoSpaceDN w:val="0"/>
        <w:adjustRightInd w:val="0"/>
        <w:snapToGrid w:val="0"/>
        <w:spacing w:line="312" w:lineRule="auto"/>
        <w:ind w:firstLine="422" w:firstLineChars="200"/>
        <w:jc w:val="left"/>
        <w:rPr>
          <w:rFonts w:ascii="Arial" w:hAnsi="Arial" w:cs="Arial"/>
          <w:b/>
          <w:bCs/>
          <w:color w:val="auto"/>
          <w:szCs w:val="21"/>
          <w:highlight w:val="none"/>
        </w:rPr>
      </w:pPr>
      <w:r>
        <w:rPr>
          <w:rFonts w:ascii="Arial" w:hAnsi="Arial" w:cs="Arial"/>
          <w:b/>
          <w:bCs/>
          <w:color w:val="auto"/>
          <w:szCs w:val="21"/>
          <w:highlight w:val="none"/>
        </w:rPr>
        <w:t>五、供应商资格条件：</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1．基本资格条件：供应商为在国内注册，生产或经营本次采购货物并具备法人资格的供应商；</w:t>
      </w:r>
      <w:r>
        <w:rPr>
          <w:rFonts w:hint="eastAsia" w:ascii="Arial" w:hAnsi="Arial" w:cs="Arial"/>
          <w:color w:val="auto"/>
          <w:kern w:val="0"/>
          <w:szCs w:val="21"/>
          <w:highlight w:val="none"/>
        </w:rPr>
        <w:t>具有独立承担民事责任的能力；具有良好的商业信誉和健全的财务会计制度；有依法缴纳税收和社会保障资金的良好记录；</w:t>
      </w:r>
      <w:r>
        <w:rPr>
          <w:rFonts w:hint="eastAsia" w:ascii="Arial" w:hAnsi="Arial" w:cs="Arial"/>
          <w:color w:val="auto"/>
          <w:kern w:val="0"/>
          <w:szCs w:val="21"/>
          <w:highlight w:val="none"/>
          <w:lang w:val="en-US" w:eastAsia="zh-CN"/>
        </w:rPr>
        <w:t>近三</w:t>
      </w:r>
      <w:r>
        <w:rPr>
          <w:rFonts w:hint="eastAsia" w:ascii="Arial" w:hAnsi="Arial" w:cs="Arial"/>
          <w:color w:val="auto"/>
          <w:kern w:val="0"/>
          <w:szCs w:val="21"/>
          <w:highlight w:val="none"/>
        </w:rPr>
        <w:t>年起未列入失信被执行人、重大税收违法失信主体。</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 xml:space="preserve">2．特定资格条件： </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（1）资质要求：</w:t>
      </w:r>
      <w:bookmarkStart w:id="2" w:name="资质要求"/>
      <w:r>
        <w:rPr>
          <w:rFonts w:hint="eastAsia" w:ascii="Arial" w:hAnsi="Arial" w:cs="Arial"/>
          <w:color w:val="auto"/>
          <w:kern w:val="0"/>
          <w:szCs w:val="21"/>
          <w:highlight w:val="none"/>
        </w:rPr>
        <w:t>无</w:t>
      </w:r>
      <w:r>
        <w:rPr>
          <w:rFonts w:ascii="Arial" w:hAnsi="Arial" w:cs="Arial"/>
          <w:color w:val="auto"/>
          <w:kern w:val="0"/>
          <w:szCs w:val="21"/>
          <w:highlight w:val="none"/>
        </w:rPr>
        <w:t>。</w:t>
      </w:r>
      <w:bookmarkEnd w:id="2"/>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（2）业绩要求：</w:t>
      </w:r>
      <w:bookmarkStart w:id="3" w:name="业绩要求"/>
      <w:r>
        <w:rPr>
          <w:rFonts w:ascii="Arial" w:hAnsi="Arial" w:cs="Arial"/>
          <w:color w:val="auto"/>
          <w:kern w:val="0"/>
          <w:szCs w:val="21"/>
          <w:highlight w:val="none"/>
        </w:rPr>
        <w:t>无。</w:t>
      </w:r>
      <w:bookmarkEnd w:id="3"/>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（3）其他要求：</w:t>
      </w:r>
      <w:bookmarkStart w:id="4" w:name="其他要求"/>
      <w:r>
        <w:rPr>
          <w:rFonts w:ascii="Arial" w:hAnsi="Arial" w:cs="Arial"/>
          <w:color w:val="auto"/>
          <w:kern w:val="0"/>
          <w:szCs w:val="21"/>
          <w:highlight w:val="none"/>
        </w:rPr>
        <w:t>无。</w:t>
      </w:r>
      <w:bookmarkEnd w:id="4"/>
    </w:p>
    <w:p>
      <w:pPr>
        <w:spacing w:line="312" w:lineRule="auto"/>
        <w:ind w:firstLine="420" w:firstLineChars="200"/>
        <w:jc w:val="left"/>
        <w:rPr>
          <w:rFonts w:ascii="Arial" w:hAnsi="Arial" w:cs="Arial"/>
          <w:color w:val="auto"/>
          <w:kern w:val="0"/>
          <w:szCs w:val="21"/>
          <w:highlight w:val="none"/>
        </w:rPr>
      </w:pPr>
      <w:bookmarkStart w:id="5" w:name="_Hlk109986039"/>
      <w:r>
        <w:rPr>
          <w:rFonts w:hint="eastAsia" w:ascii="Arial" w:hAnsi="Arial" w:cs="Arial"/>
          <w:color w:val="auto"/>
          <w:kern w:val="0"/>
          <w:szCs w:val="21"/>
          <w:highlight w:val="none"/>
        </w:rPr>
        <w:t>（</w:t>
      </w:r>
      <w:r>
        <w:rPr>
          <w:rFonts w:ascii="Arial" w:hAnsi="Arial" w:cs="Arial"/>
          <w:color w:val="auto"/>
          <w:kern w:val="0"/>
          <w:szCs w:val="21"/>
          <w:highlight w:val="none"/>
        </w:rPr>
        <w:t>4</w:t>
      </w:r>
      <w:r>
        <w:rPr>
          <w:rFonts w:hint="eastAsia" w:ascii="Arial" w:hAnsi="Arial" w:cs="Arial"/>
          <w:color w:val="auto"/>
          <w:kern w:val="0"/>
          <w:szCs w:val="21"/>
          <w:highlight w:val="none"/>
        </w:rPr>
        <w:t>）</w:t>
      </w:r>
      <w:bookmarkEnd w:id="5"/>
      <w:r>
        <w:rPr>
          <w:rFonts w:hint="eastAsia" w:ascii="Arial" w:hAnsi="Arial" w:cs="Arial"/>
          <w:color w:val="auto"/>
          <w:kern w:val="0"/>
          <w:szCs w:val="21"/>
          <w:highlight w:val="none"/>
        </w:rPr>
        <w:t>供应商不得参加资格审查的情形：a</w:t>
      </w:r>
      <w:r>
        <w:rPr>
          <w:rFonts w:ascii="Arial" w:hAnsi="Arial" w:cs="Arial"/>
          <w:color w:val="auto"/>
          <w:kern w:val="0"/>
          <w:szCs w:val="21"/>
          <w:highlight w:val="none"/>
        </w:rPr>
        <w:t>.</w:t>
      </w:r>
      <w:r>
        <w:rPr>
          <w:rFonts w:hint="eastAsia" w:ascii="Arial" w:hAnsi="Arial" w:cs="Arial"/>
          <w:color w:val="auto"/>
          <w:kern w:val="0"/>
          <w:szCs w:val="21"/>
          <w:highlight w:val="none"/>
        </w:rPr>
        <w:t>单位负责人为同一人或者存在直接控股、管理关系的不同供应商，不得参加本项目同一合同项下的采购活动。为本项目提供整体设计、规范编制或者项目管理、监理、检测等服务的供应商，不得再参加本项目的采购活动。</w:t>
      </w:r>
      <w:r>
        <w:rPr>
          <w:rFonts w:ascii="Arial" w:hAnsi="Arial" w:cs="Arial"/>
          <w:color w:val="auto"/>
          <w:kern w:val="0"/>
          <w:szCs w:val="21"/>
          <w:highlight w:val="none"/>
        </w:rPr>
        <w:t>b.</w:t>
      </w:r>
      <w:r>
        <w:rPr>
          <w:rFonts w:hint="eastAsia" w:ascii="Arial" w:hAnsi="Arial" w:cs="Arial"/>
          <w:color w:val="auto"/>
          <w:kern w:val="0"/>
          <w:szCs w:val="21"/>
          <w:highlight w:val="none"/>
        </w:rPr>
        <w:t xml:space="preserve"> 因违法经营受到刑事处罚或者责令停产停业、吊销许可证或者执照、较大数额罚款等行政处罚，或者存在财政部门认定的其他重大违法记录，以及在财政部门禁止参加采购活动期限以内的。</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3．按照竞争性谈判公告的规定获得谈判文件。</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4．本项目不接受联合体谈判。</w:t>
      </w:r>
    </w:p>
    <w:p>
      <w:pPr>
        <w:spacing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六、谈判文件的获取：</w:t>
      </w:r>
    </w:p>
    <w:bookmarkEnd w:id="1"/>
    <w:p>
      <w:pPr>
        <w:spacing w:line="312" w:lineRule="auto"/>
        <w:ind w:firstLine="420" w:firstLineChars="200"/>
        <w:rPr>
          <w:color w:val="auto"/>
          <w:szCs w:val="21"/>
          <w:highlight w:val="none"/>
        </w:rPr>
      </w:pPr>
      <w:bookmarkStart w:id="6" w:name="_Toc489863685"/>
      <w:r>
        <w:rPr>
          <w:rFonts w:hint="eastAsia"/>
          <w:color w:val="auto"/>
          <w:szCs w:val="21"/>
          <w:highlight w:val="none"/>
        </w:rPr>
        <w:t>1.时间：</w:t>
      </w:r>
      <w:r>
        <w:rPr>
          <w:rFonts w:hint="eastAsia" w:ascii="Arial" w:hAnsi="Arial" w:cs="Arial"/>
          <w:color w:val="auto"/>
          <w:kern w:val="0"/>
          <w:szCs w:val="21"/>
          <w:highlight w:val="none"/>
        </w:rPr>
        <w:t xml:space="preserve">2024年 </w:t>
      </w:r>
      <w:r>
        <w:rPr>
          <w:rFonts w:hint="eastAsia" w:ascii="Arial" w:hAnsi="Arial" w:cs="Arial"/>
          <w:color w:val="auto"/>
          <w:kern w:val="0"/>
          <w:szCs w:val="21"/>
          <w:highlight w:val="none"/>
          <w:lang w:val="en-US" w:eastAsia="zh-CN"/>
        </w:rPr>
        <w:t>9</w:t>
      </w:r>
      <w:r>
        <w:rPr>
          <w:rFonts w:hint="eastAsia" w:ascii="Arial" w:hAnsi="Arial" w:cs="Arial"/>
          <w:color w:val="auto"/>
          <w:kern w:val="0"/>
          <w:szCs w:val="21"/>
          <w:highlight w:val="none"/>
        </w:rPr>
        <w:t xml:space="preserve"> 月 </w:t>
      </w:r>
      <w:r>
        <w:rPr>
          <w:rFonts w:hint="eastAsia" w:ascii="Arial" w:hAnsi="Arial" w:cs="Arial"/>
          <w:color w:val="auto"/>
          <w:kern w:val="0"/>
          <w:szCs w:val="21"/>
          <w:highlight w:val="none"/>
          <w:lang w:val="en-US" w:eastAsia="zh-CN"/>
        </w:rPr>
        <w:t>18</w:t>
      </w:r>
      <w:r>
        <w:rPr>
          <w:rFonts w:hint="eastAsia" w:ascii="Arial" w:hAnsi="Arial" w:cs="Arial"/>
          <w:color w:val="auto"/>
          <w:kern w:val="0"/>
          <w:szCs w:val="21"/>
          <w:highlight w:val="none"/>
        </w:rPr>
        <w:t xml:space="preserve"> 日起至2024年 </w:t>
      </w:r>
      <w:r>
        <w:rPr>
          <w:rFonts w:hint="eastAsia" w:ascii="Arial" w:hAnsi="Arial" w:cs="Arial"/>
          <w:color w:val="auto"/>
          <w:kern w:val="0"/>
          <w:szCs w:val="21"/>
          <w:highlight w:val="none"/>
          <w:lang w:val="en-US" w:eastAsia="zh-CN"/>
        </w:rPr>
        <w:t>9</w:t>
      </w:r>
      <w:r>
        <w:rPr>
          <w:rFonts w:hint="eastAsia" w:ascii="Arial" w:hAnsi="Arial" w:cs="Arial"/>
          <w:color w:val="auto"/>
          <w:kern w:val="0"/>
          <w:szCs w:val="21"/>
          <w:highlight w:val="none"/>
        </w:rPr>
        <w:t xml:space="preserve"> 月 </w:t>
      </w:r>
      <w:r>
        <w:rPr>
          <w:rFonts w:hint="eastAsia" w:ascii="Arial" w:hAnsi="Arial" w:cs="Arial"/>
          <w:color w:val="auto"/>
          <w:kern w:val="0"/>
          <w:szCs w:val="21"/>
          <w:highlight w:val="none"/>
          <w:lang w:val="en-US" w:eastAsia="zh-CN"/>
        </w:rPr>
        <w:t>23</w:t>
      </w:r>
      <w:r>
        <w:rPr>
          <w:rFonts w:hint="eastAsia" w:ascii="Arial" w:hAnsi="Arial" w:cs="Arial"/>
          <w:color w:val="auto"/>
          <w:kern w:val="0"/>
          <w:szCs w:val="21"/>
          <w:highlight w:val="none"/>
        </w:rPr>
        <w:t xml:space="preserve"> 日</w:t>
      </w:r>
      <w:r>
        <w:rPr>
          <w:rFonts w:hint="eastAsia"/>
          <w:color w:val="auto"/>
          <w:szCs w:val="21"/>
          <w:highlight w:val="none"/>
        </w:rPr>
        <w:t>，每天上午08时30分至12时00分，下午15时30分至18时00分（北京时间，法定节假日除外）。</w:t>
      </w:r>
    </w:p>
    <w:p>
      <w:pPr>
        <w:spacing w:line="312" w:lineRule="auto"/>
        <w:ind w:firstLine="420" w:firstLineChars="200"/>
        <w:rPr>
          <w:color w:val="auto"/>
          <w:szCs w:val="21"/>
          <w:highlight w:val="none"/>
        </w:rPr>
      </w:pPr>
      <w:r>
        <w:rPr>
          <w:rFonts w:hint="eastAsia"/>
          <w:color w:val="auto"/>
          <w:szCs w:val="21"/>
          <w:highlight w:val="none"/>
        </w:rPr>
        <w:t>2.地点：广西机电</w:t>
      </w:r>
      <w:r>
        <w:rPr>
          <w:rFonts w:hint="eastAsia"/>
          <w:color w:val="auto"/>
          <w:szCs w:val="21"/>
          <w:highlight w:val="none"/>
        </w:rPr>
        <w:t>设备招标有限公司百色分公司（广西百色市右江区那毕大道12号环球大厦左塔楼15层1527室）。</w:t>
      </w:r>
    </w:p>
    <w:p>
      <w:pPr>
        <w:spacing w:line="312" w:lineRule="auto"/>
        <w:ind w:firstLine="420" w:firstLineChars="200"/>
        <w:rPr>
          <w:color w:val="auto"/>
          <w:szCs w:val="21"/>
          <w:highlight w:val="none"/>
        </w:rPr>
      </w:pPr>
      <w:r>
        <w:rPr>
          <w:rFonts w:hint="eastAsia"/>
          <w:color w:val="auto"/>
          <w:szCs w:val="21"/>
          <w:highlight w:val="none"/>
        </w:rPr>
        <w:t>3.本项目谈判文件获取方式：</w:t>
      </w:r>
      <w:r>
        <w:rPr>
          <w:rFonts w:hint="eastAsia"/>
          <w:color w:val="auto"/>
          <w:szCs w:val="21"/>
          <w:highlight w:val="none"/>
        </w:rPr>
        <w:sym w:font="Wingdings 2" w:char="0052"/>
      </w:r>
      <w:r>
        <w:rPr>
          <w:rFonts w:hint="eastAsia"/>
          <w:color w:val="auto"/>
          <w:szCs w:val="21"/>
          <w:highlight w:val="none"/>
        </w:rPr>
        <w:t>本项目不提供纸质文件，有意向的供应商请在上述时间内登录精彩纵横云采购平台网站(网址: https://www.yingcaicheng.com/)公告查看页面点击“立即参与”，在网上缴纳标书款并获取电子谈判文件及其它资料。(未注册的供应商须先完成注册登记并通过审核)</w:t>
      </w:r>
    </w:p>
    <w:p>
      <w:pPr>
        <w:spacing w:line="312" w:lineRule="auto"/>
        <w:ind w:firstLine="420" w:firstLineChars="200"/>
        <w:rPr>
          <w:color w:val="auto"/>
          <w:szCs w:val="21"/>
          <w:highlight w:val="none"/>
        </w:rPr>
      </w:pPr>
      <w:r>
        <w:rPr>
          <w:rFonts w:hint="eastAsia"/>
          <w:color w:val="auto"/>
          <w:szCs w:val="21"/>
          <w:highlight w:val="none"/>
        </w:rPr>
        <w:t>（1）售价：每套300元，售后不退。文件发票可于付款后在平台申请开具，增值税电子普通发票通过电子邮箱及手机短信发送。</w:t>
      </w:r>
    </w:p>
    <w:p>
      <w:pPr>
        <w:spacing w:line="312" w:lineRule="auto"/>
        <w:ind w:firstLine="420" w:firstLineChars="200"/>
        <w:rPr>
          <w:color w:val="auto"/>
          <w:szCs w:val="21"/>
          <w:highlight w:val="none"/>
        </w:rPr>
      </w:pPr>
      <w:r>
        <w:rPr>
          <w:rFonts w:hint="eastAsia"/>
          <w:color w:val="auto"/>
          <w:szCs w:val="21"/>
          <w:highlight w:val="none"/>
        </w:rPr>
        <w:t>（2）供应商需在云采购平台上传证明文件并提交审核，审核通过后即可购买采购文件。</w:t>
      </w:r>
    </w:p>
    <w:p>
      <w:pPr>
        <w:spacing w:line="312" w:lineRule="auto"/>
        <w:ind w:firstLine="420" w:firstLineChars="200"/>
        <w:rPr>
          <w:color w:val="auto"/>
          <w:szCs w:val="21"/>
          <w:highlight w:val="none"/>
        </w:rPr>
      </w:pPr>
      <w:r>
        <w:rPr>
          <w:rFonts w:hint="eastAsia"/>
          <w:color w:val="auto"/>
          <w:szCs w:val="21"/>
          <w:highlight w:val="none"/>
        </w:rPr>
        <w:t>证明文件：①主体资格证明（如营业执照、事业单位法人证书、执业许可证等）；②法定代表人身份证；③委托代理人身份证及法定代表人授权书。以上证明文件要求为原件的清晰扫描件。</w:t>
      </w:r>
    </w:p>
    <w:p>
      <w:pPr>
        <w:spacing w:line="312" w:lineRule="auto"/>
        <w:ind w:firstLine="420" w:firstLineChars="200"/>
        <w:rPr>
          <w:color w:val="auto"/>
          <w:szCs w:val="21"/>
          <w:highlight w:val="none"/>
        </w:rPr>
      </w:pPr>
      <w:r>
        <w:rPr>
          <w:rFonts w:hint="eastAsia"/>
          <w:color w:val="auto"/>
          <w:szCs w:val="21"/>
          <w:highlight w:val="none"/>
        </w:rPr>
        <w:t xml:space="preserve">备注： </w:t>
      </w:r>
    </w:p>
    <w:p>
      <w:pPr>
        <w:spacing w:line="312" w:lineRule="auto"/>
        <w:ind w:firstLine="420" w:firstLineChars="200"/>
        <w:rPr>
          <w:color w:val="auto"/>
          <w:szCs w:val="21"/>
          <w:highlight w:val="none"/>
        </w:rPr>
      </w:pPr>
      <w:r>
        <w:rPr>
          <w:rFonts w:hint="eastAsia"/>
          <w:color w:val="auto"/>
          <w:szCs w:val="21"/>
          <w:highlight w:val="none"/>
        </w:rPr>
        <w:t>1)具体注册事宜可登录精彩纵横云采购平台网站 (https://www.yingcaicheng.com/) 查看“帮助专区”;</w:t>
      </w:r>
    </w:p>
    <w:p>
      <w:pPr>
        <w:spacing w:line="312" w:lineRule="auto"/>
        <w:ind w:firstLine="420" w:firstLineChars="200"/>
        <w:rPr>
          <w:color w:val="auto"/>
          <w:szCs w:val="21"/>
          <w:highlight w:val="none"/>
        </w:rPr>
      </w:pPr>
      <w:r>
        <w:rPr>
          <w:rFonts w:hint="eastAsia"/>
          <w:color w:val="auto"/>
          <w:szCs w:val="21"/>
          <w:highlight w:val="none"/>
        </w:rPr>
        <w:t>2)相关问题也可拨打咨询电话: 400-8566-100 (注册咨询电话，晚上21: 00前)，咨询QQ: 2307583988、811028657、3132922569;</w:t>
      </w:r>
    </w:p>
    <w:p>
      <w:pPr>
        <w:spacing w:line="312" w:lineRule="auto"/>
        <w:ind w:firstLine="420" w:firstLineChars="200"/>
        <w:rPr>
          <w:color w:val="auto"/>
          <w:szCs w:val="21"/>
          <w:highlight w:val="none"/>
        </w:rPr>
      </w:pPr>
      <w:r>
        <w:rPr>
          <w:rFonts w:hint="eastAsia"/>
          <w:color w:val="auto"/>
          <w:szCs w:val="21"/>
          <w:highlight w:val="none"/>
        </w:rPr>
        <w:t>3)以上手续必须在谈判文件发售期内完成，因未及时办理注册审核手续影响文件获取及参加投标的，责任自负。</w:t>
      </w:r>
    </w:p>
    <w:p>
      <w:pPr>
        <w:spacing w:line="312" w:lineRule="auto"/>
        <w:ind w:firstLine="422" w:firstLineChars="200"/>
        <w:jc w:val="left"/>
        <w:rPr>
          <w:rFonts w:ascii="Arial" w:hAnsi="Arial" w:cs="Arial"/>
          <w:b/>
          <w:bCs/>
          <w:color w:val="auto"/>
          <w:kern w:val="0"/>
          <w:szCs w:val="21"/>
          <w:highlight w:val="none"/>
        </w:rPr>
      </w:pPr>
      <w:r>
        <w:rPr>
          <w:rFonts w:ascii="Arial" w:hAnsi="Arial" w:cs="Arial"/>
          <w:b/>
          <w:bCs/>
          <w:color w:val="auto"/>
          <w:kern w:val="0"/>
          <w:szCs w:val="21"/>
          <w:highlight w:val="none"/>
        </w:rPr>
        <w:t>七、响应文件递交截止时间和地点：</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响应文件递交截止时间：202</w:t>
      </w:r>
      <w:r>
        <w:rPr>
          <w:rFonts w:hint="eastAsia" w:ascii="Arial" w:hAnsi="Arial" w:cs="Arial"/>
          <w:color w:val="auto"/>
          <w:kern w:val="0"/>
          <w:szCs w:val="21"/>
          <w:highlight w:val="none"/>
        </w:rPr>
        <w:t>4</w:t>
      </w:r>
      <w:r>
        <w:rPr>
          <w:rFonts w:ascii="Arial" w:hAnsi="Arial" w:cs="Arial"/>
          <w:color w:val="auto"/>
          <w:kern w:val="0"/>
          <w:szCs w:val="21"/>
          <w:highlight w:val="none"/>
        </w:rPr>
        <w:t>年</w:t>
      </w:r>
      <w:r>
        <w:rPr>
          <w:rFonts w:hint="eastAsia"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9</w:t>
      </w:r>
      <w:r>
        <w:rPr>
          <w:rFonts w:hint="eastAsia" w:ascii="Arial" w:hAnsi="Arial" w:cs="Arial"/>
          <w:color w:val="auto"/>
          <w:kern w:val="0"/>
          <w:szCs w:val="21"/>
          <w:highlight w:val="none"/>
        </w:rPr>
        <w:t xml:space="preserve"> </w:t>
      </w:r>
      <w:r>
        <w:rPr>
          <w:rFonts w:ascii="Arial" w:hAnsi="Arial" w:cs="Arial"/>
          <w:color w:val="auto"/>
          <w:kern w:val="0"/>
          <w:szCs w:val="21"/>
          <w:highlight w:val="none"/>
        </w:rPr>
        <w:t>月</w:t>
      </w:r>
      <w:r>
        <w:rPr>
          <w:rFonts w:hint="eastAsia"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24</w:t>
      </w:r>
      <w:r>
        <w:rPr>
          <w:rFonts w:hint="eastAsia" w:ascii="Arial" w:hAnsi="Arial" w:cs="Arial"/>
          <w:color w:val="auto"/>
          <w:kern w:val="0"/>
          <w:szCs w:val="21"/>
          <w:highlight w:val="none"/>
        </w:rPr>
        <w:t xml:space="preserve"> </w:t>
      </w:r>
      <w:r>
        <w:rPr>
          <w:rFonts w:ascii="Arial" w:hAnsi="Arial" w:cs="Arial"/>
          <w:color w:val="auto"/>
          <w:kern w:val="0"/>
          <w:szCs w:val="21"/>
          <w:highlight w:val="none"/>
        </w:rPr>
        <w:t>日</w:t>
      </w:r>
      <w:r>
        <w:rPr>
          <w:rFonts w:hint="eastAsia"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15</w:t>
      </w:r>
      <w:r>
        <w:rPr>
          <w:rFonts w:hint="eastAsia" w:ascii="Arial" w:hAnsi="Arial" w:cs="Arial"/>
          <w:color w:val="auto"/>
          <w:kern w:val="0"/>
          <w:szCs w:val="21"/>
          <w:highlight w:val="none"/>
        </w:rPr>
        <w:t xml:space="preserve"> </w:t>
      </w:r>
      <w:r>
        <w:rPr>
          <w:rFonts w:ascii="Arial" w:hAnsi="Arial" w:cs="Arial"/>
          <w:color w:val="auto"/>
          <w:kern w:val="0"/>
          <w:szCs w:val="21"/>
          <w:highlight w:val="none"/>
        </w:rPr>
        <w:t>时</w:t>
      </w:r>
      <w:r>
        <w:rPr>
          <w:rFonts w:hint="eastAsia"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30</w:t>
      </w:r>
      <w:r>
        <w:rPr>
          <w:rFonts w:hint="eastAsia" w:ascii="Arial" w:hAnsi="Arial" w:cs="Arial"/>
          <w:color w:val="auto"/>
          <w:kern w:val="0"/>
          <w:szCs w:val="21"/>
          <w:highlight w:val="none"/>
        </w:rPr>
        <w:t xml:space="preserve"> </w:t>
      </w:r>
      <w:r>
        <w:rPr>
          <w:rFonts w:ascii="Arial" w:hAnsi="Arial" w:cs="Arial"/>
          <w:color w:val="auto"/>
          <w:kern w:val="0"/>
          <w:szCs w:val="21"/>
          <w:highlight w:val="none"/>
        </w:rPr>
        <w:t>分前（北京时间）</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响应文件递交截止地点：</w:t>
      </w:r>
      <w:r>
        <w:rPr>
          <w:rFonts w:hint="eastAsia"/>
          <w:color w:val="auto"/>
          <w:kern w:val="0"/>
          <w:szCs w:val="21"/>
          <w:highlight w:val="none"/>
        </w:rPr>
        <w:t>广西百色市右江区那毕大道12号环球大厦左塔楼15层1527室广西机电设备招标有限公司百色分公司</w:t>
      </w:r>
    </w:p>
    <w:p>
      <w:pPr>
        <w:spacing w:line="312" w:lineRule="auto"/>
        <w:ind w:firstLine="420" w:firstLineChars="200"/>
        <w:jc w:val="left"/>
        <w:rPr>
          <w:rFonts w:ascii="Arial" w:hAnsi="Arial" w:cs="Arial"/>
          <w:color w:val="auto"/>
          <w:kern w:val="0"/>
          <w:szCs w:val="21"/>
          <w:highlight w:val="none"/>
        </w:rPr>
      </w:pPr>
      <w:r>
        <w:rPr>
          <w:rFonts w:hint="eastAsia" w:ascii="Arial" w:hAnsi="Arial" w:cs="Arial"/>
          <w:color w:val="auto"/>
          <w:kern w:val="0"/>
          <w:szCs w:val="21"/>
          <w:highlight w:val="none"/>
        </w:rPr>
        <w:t>响应文件递交方式：现场递交，具体要求详见供应商须知前附表</w:t>
      </w:r>
      <w:r>
        <w:rPr>
          <w:rFonts w:ascii="Arial" w:hAnsi="Arial" w:cs="Arial"/>
          <w:color w:val="auto"/>
          <w:szCs w:val="21"/>
          <w:highlight w:val="none"/>
        </w:rPr>
        <w:t xml:space="preserve"> </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八、截标时间和地点：</w:t>
      </w:r>
    </w:p>
    <w:p>
      <w:pPr>
        <w:spacing w:line="312" w:lineRule="auto"/>
        <w:ind w:firstLine="420" w:firstLineChars="200"/>
        <w:jc w:val="left"/>
        <w:rPr>
          <w:rFonts w:ascii="Arial" w:hAnsi="Arial" w:cs="Arial"/>
          <w:bCs/>
          <w:color w:val="auto"/>
          <w:kern w:val="0"/>
          <w:szCs w:val="21"/>
          <w:highlight w:val="none"/>
        </w:rPr>
      </w:pPr>
      <w:r>
        <w:rPr>
          <w:rFonts w:ascii="Arial" w:hAnsi="Arial" w:cs="Arial"/>
          <w:color w:val="auto"/>
          <w:kern w:val="0"/>
          <w:szCs w:val="21"/>
          <w:highlight w:val="none"/>
        </w:rPr>
        <w:t>截标时间同响应文件递交截止时间，截标地点同响应文件递交地点。</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九、联系方式：</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1.采购人信息</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名称：</w:t>
      </w:r>
      <w:r>
        <w:rPr>
          <w:rFonts w:hint="eastAsia" w:ascii="Arial" w:hAnsi="Arial" w:cs="Arial"/>
          <w:color w:val="auto"/>
          <w:kern w:val="0"/>
          <w:szCs w:val="21"/>
          <w:highlight w:val="none"/>
        </w:rPr>
        <w:t>广西广播电视技术中心百色分中心</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地址：</w:t>
      </w:r>
      <w:r>
        <w:rPr>
          <w:rFonts w:hint="eastAsia" w:ascii="Arial" w:hAnsi="Arial" w:cs="Arial"/>
          <w:color w:val="auto"/>
          <w:kern w:val="0"/>
          <w:szCs w:val="21"/>
          <w:highlight w:val="none"/>
        </w:rPr>
        <w:t>广西百色市右江区城乡路105号</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项目联系人：</w:t>
      </w:r>
      <w:r>
        <w:rPr>
          <w:rFonts w:hint="eastAsia" w:ascii="Arial" w:hAnsi="Arial" w:cs="Arial"/>
          <w:color w:val="auto"/>
          <w:kern w:val="0"/>
          <w:szCs w:val="21"/>
          <w:highlight w:val="none"/>
        </w:rPr>
        <w:t>韦女士</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项目联系方式：</w:t>
      </w:r>
      <w:r>
        <w:rPr>
          <w:rFonts w:hint="eastAsia" w:ascii="Arial" w:hAnsi="Arial" w:cs="Arial"/>
          <w:color w:val="auto"/>
          <w:kern w:val="0"/>
          <w:szCs w:val="21"/>
          <w:highlight w:val="none"/>
        </w:rPr>
        <w:t>0776-2662248</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2.采购代理机构信息</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名称：广西机电设备招标有限公司</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地址：广西百色市右江区那毕大道12号环球大厦左塔楼15层1527室（百色分公司）</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项目联系人（询问）：</w:t>
      </w:r>
      <w:r>
        <w:rPr>
          <w:rFonts w:hint="eastAsia" w:ascii="Arial" w:hAnsi="Arial" w:cs="Arial"/>
          <w:color w:val="auto"/>
          <w:kern w:val="0"/>
          <w:szCs w:val="21"/>
          <w:highlight w:val="none"/>
        </w:rPr>
        <w:t>韦江迎</w:t>
      </w:r>
      <w:r>
        <w:rPr>
          <w:rFonts w:ascii="Arial" w:hAnsi="Arial" w:cs="Arial"/>
          <w:color w:val="auto"/>
          <w:kern w:val="0"/>
          <w:szCs w:val="21"/>
          <w:highlight w:val="none"/>
        </w:rPr>
        <w:t>、黄俏玲</w:t>
      </w:r>
      <w:r>
        <w:rPr>
          <w:rFonts w:hint="eastAsia" w:ascii="Arial" w:hAnsi="Arial" w:cs="Arial"/>
          <w:color w:val="auto"/>
          <w:kern w:val="0"/>
          <w:szCs w:val="21"/>
          <w:highlight w:val="none"/>
        </w:rPr>
        <w:t>、黄小娟</w:t>
      </w:r>
    </w:p>
    <w:p>
      <w:pPr>
        <w:spacing w:line="324" w:lineRule="auto"/>
        <w:ind w:right="420" w:firstLine="420" w:firstLineChars="200"/>
        <w:rPr>
          <w:rFonts w:ascii="Arial" w:hAnsi="Arial" w:cs="Arial"/>
          <w:color w:val="auto"/>
          <w:kern w:val="0"/>
          <w:szCs w:val="21"/>
          <w:highlight w:val="none"/>
        </w:rPr>
      </w:pPr>
      <w:r>
        <w:rPr>
          <w:rFonts w:ascii="Arial" w:hAnsi="Arial" w:cs="Arial"/>
          <w:color w:val="auto"/>
          <w:kern w:val="0"/>
          <w:szCs w:val="21"/>
          <w:highlight w:val="none"/>
        </w:rPr>
        <w:t>项目联系方式（询问）：0776-2222600</w:t>
      </w:r>
    </w:p>
    <w:p>
      <w:pPr>
        <w:spacing w:line="100" w:lineRule="exact"/>
        <w:ind w:firstLine="420" w:firstLineChars="200"/>
        <w:jc w:val="left"/>
        <w:rPr>
          <w:rFonts w:ascii="Arial" w:hAnsi="Arial" w:cs="Arial"/>
          <w:color w:val="auto"/>
          <w:kern w:val="0"/>
          <w:szCs w:val="21"/>
          <w:highlight w:val="none"/>
        </w:rPr>
      </w:pP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十、公告发布媒体：</w:t>
      </w:r>
    </w:p>
    <w:p>
      <w:pPr>
        <w:spacing w:line="312" w:lineRule="auto"/>
        <w:ind w:firstLine="420" w:firstLineChars="200"/>
        <w:jc w:val="left"/>
        <w:rPr>
          <w:rFonts w:ascii="Arial" w:hAnsi="Arial" w:cs="Arial"/>
          <w:color w:val="auto"/>
          <w:kern w:val="0"/>
          <w:szCs w:val="21"/>
          <w:highlight w:val="none"/>
        </w:rPr>
      </w:pPr>
      <w:r>
        <w:rPr>
          <w:rFonts w:ascii="Arial" w:hAnsi="Arial" w:cs="Arial"/>
          <w:color w:val="auto"/>
          <w:kern w:val="0"/>
          <w:szCs w:val="21"/>
          <w:highlight w:val="none"/>
        </w:rPr>
        <w:t>公告发布媒体：</w:t>
      </w:r>
      <w:r>
        <w:rPr>
          <w:rFonts w:ascii="Arial" w:hAnsi="Arial" w:cs="Arial"/>
          <w:color w:val="auto"/>
          <w:szCs w:val="21"/>
          <w:highlight w:val="none"/>
        </w:rPr>
        <w:t>中国招标投标公共服务平台(http://www.cebpubservice.com)、</w:t>
      </w:r>
      <w:r>
        <w:rPr>
          <w:rFonts w:hint="eastAsia" w:ascii="Arial" w:hAnsi="Arial" w:cs="Arial"/>
          <w:color w:val="auto"/>
          <w:szCs w:val="21"/>
          <w:highlight w:val="none"/>
        </w:rPr>
        <w:t>精彩纵横云采购平台（https://www.yingcaicheng.com/）</w:t>
      </w:r>
      <w:r>
        <w:rPr>
          <w:rFonts w:ascii="Arial" w:hAnsi="Arial" w:cs="Arial"/>
          <w:color w:val="auto"/>
          <w:kern w:val="0"/>
          <w:szCs w:val="21"/>
          <w:highlight w:val="none"/>
        </w:rPr>
        <w:t>。</w:t>
      </w:r>
    </w:p>
    <w:p>
      <w:pPr>
        <w:spacing w:line="312" w:lineRule="auto"/>
        <w:ind w:firstLine="420" w:firstLineChars="200"/>
        <w:jc w:val="right"/>
        <w:rPr>
          <w:rFonts w:ascii="Arial" w:hAnsi="Arial" w:cs="Arial"/>
          <w:color w:val="auto"/>
          <w:kern w:val="0"/>
          <w:szCs w:val="21"/>
          <w:highlight w:val="none"/>
        </w:rPr>
      </w:pPr>
    </w:p>
    <w:p>
      <w:pPr>
        <w:spacing w:line="312" w:lineRule="auto"/>
        <w:ind w:firstLine="420" w:firstLineChars="200"/>
        <w:jc w:val="right"/>
        <w:rPr>
          <w:rFonts w:ascii="Arial" w:hAnsi="Arial" w:cs="Arial"/>
          <w:color w:val="auto"/>
          <w:kern w:val="0"/>
          <w:szCs w:val="21"/>
          <w:highlight w:val="none"/>
        </w:rPr>
      </w:pPr>
    </w:p>
    <w:p>
      <w:pPr>
        <w:spacing w:line="312" w:lineRule="auto"/>
        <w:ind w:firstLine="420" w:firstLineChars="200"/>
        <w:jc w:val="right"/>
        <w:rPr>
          <w:rFonts w:ascii="Arial" w:hAnsi="Arial" w:cs="Arial"/>
          <w:color w:val="auto"/>
          <w:kern w:val="0"/>
          <w:szCs w:val="21"/>
          <w:highlight w:val="none"/>
        </w:rPr>
      </w:pPr>
    </w:p>
    <w:p>
      <w:pPr>
        <w:spacing w:line="312" w:lineRule="auto"/>
        <w:ind w:firstLine="420" w:firstLineChars="200"/>
        <w:jc w:val="right"/>
        <w:rPr>
          <w:rFonts w:ascii="Arial" w:hAnsi="Arial" w:cs="Arial"/>
          <w:color w:val="auto"/>
          <w:kern w:val="0"/>
          <w:szCs w:val="21"/>
          <w:highlight w:val="none"/>
        </w:rPr>
      </w:pPr>
      <w:r>
        <w:rPr>
          <w:rFonts w:ascii="Arial" w:hAnsi="Arial" w:cs="Arial"/>
          <w:color w:val="auto"/>
          <w:kern w:val="0"/>
          <w:szCs w:val="21"/>
          <w:highlight w:val="none"/>
        </w:rPr>
        <w:t>广西机电设备招标有限公司</w:t>
      </w:r>
    </w:p>
    <w:p>
      <w:pPr>
        <w:spacing w:line="312" w:lineRule="auto"/>
        <w:ind w:firstLine="420" w:firstLineChars="200"/>
        <w:jc w:val="right"/>
        <w:rPr>
          <w:rFonts w:ascii="Arial" w:hAnsi="Arial" w:cs="Arial"/>
          <w:color w:val="auto"/>
          <w:kern w:val="0"/>
          <w:sz w:val="18"/>
          <w:szCs w:val="18"/>
          <w:highlight w:val="none"/>
        </w:rPr>
      </w:pPr>
      <w:r>
        <w:rPr>
          <w:rFonts w:ascii="Arial" w:hAnsi="Arial" w:cs="Arial"/>
          <w:color w:val="auto"/>
          <w:kern w:val="0"/>
          <w:szCs w:val="21"/>
          <w:highlight w:val="none"/>
        </w:rPr>
        <w:t>202</w:t>
      </w:r>
      <w:r>
        <w:rPr>
          <w:rFonts w:hint="eastAsia" w:ascii="Arial" w:hAnsi="Arial" w:cs="Arial"/>
          <w:color w:val="auto"/>
          <w:kern w:val="0"/>
          <w:szCs w:val="21"/>
          <w:highlight w:val="none"/>
        </w:rPr>
        <w:t>4</w:t>
      </w:r>
      <w:r>
        <w:rPr>
          <w:rFonts w:ascii="Arial" w:hAnsi="Arial" w:cs="Arial"/>
          <w:color w:val="auto"/>
          <w:kern w:val="0"/>
          <w:szCs w:val="21"/>
          <w:highlight w:val="none"/>
        </w:rPr>
        <w:t>年</w:t>
      </w:r>
      <w:r>
        <w:rPr>
          <w:rFonts w:hint="eastAsia"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9</w:t>
      </w:r>
      <w:r>
        <w:rPr>
          <w:rFonts w:hint="eastAsia" w:ascii="Arial" w:hAnsi="Arial" w:cs="Arial"/>
          <w:color w:val="auto"/>
          <w:kern w:val="0"/>
          <w:szCs w:val="21"/>
          <w:highlight w:val="none"/>
        </w:rPr>
        <w:t xml:space="preserve"> </w:t>
      </w:r>
      <w:r>
        <w:rPr>
          <w:rFonts w:ascii="Arial" w:hAnsi="Arial" w:cs="Arial"/>
          <w:color w:val="auto"/>
          <w:kern w:val="0"/>
          <w:szCs w:val="21"/>
          <w:highlight w:val="none"/>
        </w:rPr>
        <w:t>月</w:t>
      </w:r>
      <w:r>
        <w:rPr>
          <w:rFonts w:hint="eastAsia" w:ascii="Arial" w:hAnsi="Arial" w:cs="Arial"/>
          <w:color w:val="auto"/>
          <w:kern w:val="0"/>
          <w:szCs w:val="21"/>
          <w:highlight w:val="none"/>
        </w:rPr>
        <w:t xml:space="preserve"> </w:t>
      </w:r>
      <w:r>
        <w:rPr>
          <w:rFonts w:hint="eastAsia" w:ascii="Arial" w:hAnsi="Arial" w:cs="Arial"/>
          <w:color w:val="auto"/>
          <w:kern w:val="0"/>
          <w:szCs w:val="21"/>
          <w:highlight w:val="none"/>
          <w:lang w:val="en-US" w:eastAsia="zh-CN"/>
        </w:rPr>
        <w:t>18</w:t>
      </w:r>
      <w:r>
        <w:rPr>
          <w:rFonts w:hint="eastAsia" w:ascii="Arial" w:hAnsi="Arial" w:cs="Arial"/>
          <w:color w:val="auto"/>
          <w:kern w:val="0"/>
          <w:szCs w:val="21"/>
          <w:highlight w:val="none"/>
        </w:rPr>
        <w:t xml:space="preserve"> </w:t>
      </w:r>
      <w:r>
        <w:rPr>
          <w:rFonts w:ascii="Arial" w:hAnsi="Arial" w:cs="Arial"/>
          <w:color w:val="auto"/>
          <w:kern w:val="0"/>
          <w:szCs w:val="21"/>
          <w:highlight w:val="none"/>
        </w:rPr>
        <w:t>日</w:t>
      </w:r>
    </w:p>
    <w:p>
      <w:pPr>
        <w:pStyle w:val="23"/>
        <w:snapToGrid w:val="0"/>
        <w:spacing w:before="120" w:after="120" w:line="320" w:lineRule="exact"/>
        <w:jc w:val="center"/>
        <w:rPr>
          <w:rFonts w:ascii="Arial" w:hAnsi="Arial" w:cs="Arial"/>
          <w:color w:val="auto"/>
          <w:sz w:val="32"/>
          <w:szCs w:val="32"/>
          <w:highlight w:val="none"/>
        </w:rPr>
      </w:pPr>
    </w:p>
    <w:p>
      <w:pPr>
        <w:jc w:val="left"/>
        <w:rPr>
          <w:rFonts w:ascii="Arial" w:hAnsi="Arial" w:cs="Arial"/>
          <w:color w:val="auto"/>
          <w:sz w:val="32"/>
          <w:szCs w:val="32"/>
          <w:highlight w:val="none"/>
        </w:rPr>
      </w:pPr>
    </w:p>
    <w:p>
      <w:pPr>
        <w:jc w:val="left"/>
        <w:rPr>
          <w:rFonts w:ascii="Arial" w:hAnsi="Arial" w:cs="Arial"/>
          <w:color w:val="auto"/>
          <w:sz w:val="32"/>
          <w:szCs w:val="32"/>
          <w:highlight w:val="none"/>
        </w:rPr>
      </w:pPr>
      <w:r>
        <w:rPr>
          <w:rFonts w:ascii="Arial" w:hAnsi="Arial" w:cs="Arial"/>
          <w:color w:val="auto"/>
          <w:sz w:val="32"/>
          <w:szCs w:val="32"/>
          <w:highlight w:val="none"/>
        </w:rPr>
        <w:br w:type="page"/>
      </w:r>
    </w:p>
    <w:p>
      <w:pPr>
        <w:pStyle w:val="23"/>
        <w:snapToGrid w:val="0"/>
        <w:spacing w:before="120" w:after="120" w:line="320" w:lineRule="exact"/>
        <w:jc w:val="center"/>
        <w:outlineLvl w:val="0"/>
        <w:rPr>
          <w:rFonts w:ascii="Arial" w:hAnsi="Arial" w:cs="Arial"/>
          <w:color w:val="auto"/>
          <w:sz w:val="32"/>
          <w:szCs w:val="32"/>
          <w:highlight w:val="none"/>
        </w:rPr>
      </w:pPr>
      <w:bookmarkStart w:id="7" w:name="_Toc15196"/>
      <w:r>
        <w:rPr>
          <w:rFonts w:ascii="Arial" w:hAnsi="Arial" w:cs="Arial"/>
          <w:color w:val="auto"/>
          <w:sz w:val="32"/>
          <w:szCs w:val="32"/>
          <w:highlight w:val="none"/>
        </w:rPr>
        <w:t>第二章  项目采购需求</w:t>
      </w:r>
      <w:bookmarkEnd w:id="6"/>
      <w:bookmarkEnd w:id="7"/>
    </w:p>
    <w:p>
      <w:pPr>
        <w:pStyle w:val="23"/>
        <w:snapToGrid w:val="0"/>
        <w:jc w:val="center"/>
        <w:rPr>
          <w:rFonts w:ascii="Arial" w:hAnsi="Arial" w:cs="Arial"/>
          <w:b/>
          <w:color w:val="auto"/>
          <w:highlight w:val="none"/>
        </w:rPr>
      </w:pPr>
      <w:bookmarkStart w:id="8" w:name="_Toc254970631"/>
      <w:bookmarkStart w:id="9" w:name="_Toc254970490"/>
    </w:p>
    <w:tbl>
      <w:tblPr>
        <w:tblStyle w:val="41"/>
        <w:tblW w:w="10186" w:type="dxa"/>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134"/>
        <w:gridCol w:w="532"/>
        <w:gridCol w:w="7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0186" w:type="dxa"/>
            <w:gridSpan w:val="4"/>
            <w:shd w:val="clear" w:color="auto" w:fill="D9D9D9"/>
            <w:vAlign w:val="center"/>
          </w:tcPr>
          <w:p>
            <w:pPr>
              <w:widowControl/>
              <w:spacing w:line="240" w:lineRule="exact"/>
              <w:jc w:val="left"/>
              <w:rPr>
                <w:rFonts w:ascii="Arial" w:hAnsi="Arial" w:cs="Arial"/>
                <w:b/>
                <w:color w:val="auto"/>
                <w:kern w:val="0"/>
                <w:szCs w:val="21"/>
                <w:highlight w:val="none"/>
              </w:rPr>
            </w:pPr>
            <w:r>
              <w:rPr>
                <w:rFonts w:ascii="Arial" w:hAnsi="Arial" w:cs="Arial"/>
                <w:b/>
                <w:color w:val="auto"/>
                <w:kern w:val="0"/>
                <w:szCs w:val="21"/>
                <w:highlight w:val="none"/>
              </w:rPr>
              <w:t>一、本项目需实现的功能或者目标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1979" w:type="dxa"/>
            <w:gridSpan w:val="2"/>
            <w:vAlign w:val="center"/>
          </w:tcPr>
          <w:p>
            <w:pPr>
              <w:spacing w:line="300" w:lineRule="exact"/>
              <w:jc w:val="center"/>
              <w:rPr>
                <w:rFonts w:ascii="Arial" w:hAnsi="Arial" w:cs="Arial"/>
                <w:b/>
                <w:color w:val="auto"/>
                <w:kern w:val="0"/>
                <w:szCs w:val="21"/>
                <w:highlight w:val="none"/>
              </w:rPr>
            </w:pPr>
            <w:r>
              <w:rPr>
                <w:rFonts w:ascii="Arial" w:hAnsi="Arial" w:cs="Arial"/>
                <w:color w:val="auto"/>
                <w:szCs w:val="21"/>
                <w:highlight w:val="none"/>
              </w:rPr>
              <w:t>需实现的功能或者目标</w:t>
            </w:r>
          </w:p>
        </w:tc>
        <w:tc>
          <w:tcPr>
            <w:tcW w:w="8207" w:type="dxa"/>
            <w:gridSpan w:val="2"/>
            <w:vAlign w:val="center"/>
          </w:tcPr>
          <w:p>
            <w:pPr>
              <w:spacing w:line="300" w:lineRule="exact"/>
              <w:rPr>
                <w:rFonts w:ascii="Arial" w:hAnsi="Arial" w:cs="Arial"/>
                <w:color w:val="auto"/>
                <w:kern w:val="0"/>
                <w:szCs w:val="21"/>
                <w:highlight w:val="none"/>
              </w:rPr>
            </w:pPr>
            <w:r>
              <w:rPr>
                <w:rFonts w:ascii="Arial" w:hAnsi="Arial" w:cs="Arial"/>
                <w:color w:val="auto"/>
                <w:kern w:val="0"/>
                <w:szCs w:val="21"/>
                <w:highlight w:val="none"/>
              </w:rPr>
              <w:t>满足采购人的采购需求，获得质量合格且价格合理的货物和服务。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trPr>
        <w:tc>
          <w:tcPr>
            <w:tcW w:w="1979" w:type="dxa"/>
            <w:gridSpan w:val="2"/>
            <w:vAlign w:val="center"/>
          </w:tcPr>
          <w:p>
            <w:pPr>
              <w:spacing w:line="300" w:lineRule="exact"/>
              <w:jc w:val="center"/>
              <w:rPr>
                <w:rFonts w:ascii="Arial" w:hAnsi="Arial" w:cs="Arial"/>
                <w:b/>
                <w:color w:val="auto"/>
                <w:kern w:val="0"/>
                <w:szCs w:val="21"/>
                <w:highlight w:val="none"/>
              </w:rPr>
            </w:pPr>
            <w:r>
              <w:rPr>
                <w:rFonts w:hint="eastAsia"/>
                <w:color w:val="auto"/>
                <w:szCs w:val="21"/>
                <w:highlight w:val="none"/>
              </w:rPr>
              <w:t>是否接受进口产品</w:t>
            </w:r>
          </w:p>
        </w:tc>
        <w:tc>
          <w:tcPr>
            <w:tcW w:w="8207" w:type="dxa"/>
            <w:gridSpan w:val="2"/>
            <w:vAlign w:val="center"/>
          </w:tcPr>
          <w:p>
            <w:pPr>
              <w:spacing w:line="360" w:lineRule="exact"/>
              <w:rPr>
                <w:color w:val="auto"/>
                <w:szCs w:val="21"/>
                <w:highlight w:val="none"/>
              </w:rPr>
            </w:pPr>
            <w:r>
              <w:rPr>
                <w:rFonts w:ascii="Arial" w:hAnsi="Arial" w:cs="Arial"/>
                <w:color w:val="auto"/>
                <w:kern w:val="0"/>
                <w:szCs w:val="21"/>
                <w:highlight w:val="none"/>
              </w:rPr>
              <w:sym w:font="Wingdings 2" w:char="F052"/>
            </w:r>
            <w:r>
              <w:rPr>
                <w:rFonts w:hint="eastAsia" w:ascii="Arial" w:hAnsi="Arial" w:cs="Arial"/>
                <w:color w:val="auto"/>
                <w:kern w:val="0"/>
                <w:szCs w:val="21"/>
                <w:highlight w:val="none"/>
              </w:rPr>
              <w:t>否，本项目所有采购货物均不接受进口产品。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0186" w:type="dxa"/>
            <w:gridSpan w:val="4"/>
            <w:shd w:val="clear" w:color="auto" w:fill="D9D9D9"/>
            <w:vAlign w:val="center"/>
          </w:tcPr>
          <w:p>
            <w:pPr>
              <w:widowControl/>
              <w:spacing w:line="240" w:lineRule="exact"/>
              <w:jc w:val="left"/>
              <w:rPr>
                <w:rFonts w:ascii="Arial" w:hAnsi="Arial" w:cs="Arial"/>
                <w:b/>
                <w:color w:val="auto"/>
                <w:kern w:val="0"/>
                <w:szCs w:val="21"/>
                <w:highlight w:val="none"/>
              </w:rPr>
            </w:pPr>
            <w:r>
              <w:rPr>
                <w:rFonts w:ascii="Arial" w:hAnsi="Arial" w:cs="Arial"/>
                <w:b/>
                <w:color w:val="auto"/>
                <w:kern w:val="0"/>
                <w:szCs w:val="21"/>
                <w:highlight w:val="none"/>
              </w:rPr>
              <w:t>二、本项目需执行的国家相关标准、行业标准、地方标准或者其他标准、规范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0186" w:type="dxa"/>
            <w:gridSpan w:val="4"/>
            <w:vAlign w:val="center"/>
          </w:tcPr>
          <w:p>
            <w:pPr>
              <w:spacing w:line="360" w:lineRule="exact"/>
              <w:rPr>
                <w:rFonts w:ascii="Arial" w:hAnsi="Arial" w:cs="Arial"/>
                <w:color w:val="auto"/>
                <w:szCs w:val="21"/>
                <w:highlight w:val="none"/>
              </w:rPr>
            </w:pPr>
            <w:r>
              <w:rPr>
                <w:rFonts w:ascii="Arial" w:hAnsi="Arial" w:cs="Arial"/>
                <w:color w:val="auto"/>
                <w:kern w:val="0"/>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10186" w:type="dxa"/>
            <w:gridSpan w:val="4"/>
            <w:shd w:val="clear" w:color="auto" w:fill="D9D9D9"/>
            <w:vAlign w:val="center"/>
          </w:tcPr>
          <w:p>
            <w:pPr>
              <w:widowControl/>
              <w:spacing w:line="240" w:lineRule="exact"/>
              <w:jc w:val="left"/>
              <w:rPr>
                <w:rFonts w:ascii="Arial" w:hAnsi="Arial" w:cs="Arial"/>
                <w:b/>
                <w:color w:val="auto"/>
                <w:kern w:val="0"/>
                <w:szCs w:val="21"/>
                <w:highlight w:val="none"/>
              </w:rPr>
            </w:pPr>
            <w:r>
              <w:rPr>
                <w:rFonts w:ascii="Arial" w:hAnsi="Arial" w:cs="Arial"/>
                <w:b/>
                <w:color w:val="auto"/>
                <w:kern w:val="0"/>
                <w:szCs w:val="21"/>
                <w:highlight w:val="none"/>
              </w:rPr>
              <w:t>三、本项目技术要求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979" w:type="dxa"/>
            <w:gridSpan w:val="2"/>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总体要求</w:t>
            </w:r>
          </w:p>
        </w:tc>
        <w:tc>
          <w:tcPr>
            <w:tcW w:w="8207" w:type="dxa"/>
            <w:gridSpan w:val="2"/>
            <w:vAlign w:val="center"/>
          </w:tcPr>
          <w:p>
            <w:pPr>
              <w:widowControl/>
              <w:jc w:val="left"/>
              <w:rPr>
                <w:rFonts w:ascii="Arial" w:hAnsi="Arial" w:cs="Arial"/>
                <w:color w:val="auto"/>
                <w:szCs w:val="21"/>
                <w:highlight w:val="none"/>
              </w:rPr>
            </w:pPr>
            <w:r>
              <w:rPr>
                <w:rFonts w:ascii="Arial" w:hAnsi="Arial" w:cs="Arial"/>
                <w:color w:val="auto"/>
                <w:szCs w:val="21"/>
                <w:highlight w:val="none"/>
              </w:rPr>
              <w:t>1.标注“▲”的技术要求为实质性技术要求。供应商在响应文件中应就实质性技术要求提供技术支持资料，未提供的将视为未实质性响应该要求。技术支持资料可以为以下形式之一：</w:t>
            </w:r>
          </w:p>
          <w:p>
            <w:pPr>
              <w:widowControl/>
              <w:jc w:val="left"/>
              <w:rPr>
                <w:rFonts w:ascii="Arial" w:hAnsi="Arial" w:cs="Arial"/>
                <w:b/>
                <w:color w:val="auto"/>
                <w:szCs w:val="21"/>
                <w:highlight w:val="none"/>
              </w:rPr>
            </w:pPr>
            <w:r>
              <w:rPr>
                <w:rFonts w:ascii="Arial" w:hAnsi="Arial" w:cs="Arial"/>
                <w:b/>
                <w:color w:val="auto"/>
                <w:szCs w:val="21"/>
                <w:highlight w:val="none"/>
              </w:rPr>
              <w:t>（1）生产厂家公开发行的宣传彩页或技术参数（提供复印件加盖供应商公章）。</w:t>
            </w:r>
          </w:p>
          <w:p>
            <w:pPr>
              <w:widowControl/>
              <w:jc w:val="left"/>
              <w:rPr>
                <w:b/>
                <w:color w:val="auto"/>
                <w:szCs w:val="21"/>
                <w:highlight w:val="none"/>
              </w:rPr>
            </w:pPr>
            <w:r>
              <w:rPr>
                <w:rFonts w:hint="eastAsia"/>
                <w:b/>
                <w:color w:val="auto"/>
                <w:szCs w:val="21"/>
                <w:highlight w:val="none"/>
              </w:rPr>
              <w:t>（</w:t>
            </w:r>
            <w:r>
              <w:rPr>
                <w:b/>
                <w:color w:val="auto"/>
                <w:szCs w:val="21"/>
                <w:highlight w:val="none"/>
              </w:rPr>
              <w:t>2</w:t>
            </w:r>
            <w:r>
              <w:rPr>
                <w:rFonts w:hint="eastAsia"/>
                <w:b/>
                <w:color w:val="auto"/>
                <w:szCs w:val="21"/>
                <w:highlight w:val="none"/>
              </w:rPr>
              <w:t>）国家认定的认证（检测）机构出具认证证书（检测报告）或国际机构认证报告（提供复印件加盖供应商公章）。</w:t>
            </w:r>
          </w:p>
          <w:p>
            <w:pPr>
              <w:spacing w:line="300" w:lineRule="exact"/>
              <w:rPr>
                <w:rFonts w:ascii="Arial" w:hAnsi="Arial" w:cs="Arial"/>
                <w:color w:val="auto"/>
                <w:szCs w:val="21"/>
                <w:highlight w:val="none"/>
              </w:rPr>
            </w:pPr>
            <w:r>
              <w:rPr>
                <w:rFonts w:ascii="Arial" w:hAnsi="Arial" w:cs="Arial"/>
                <w:color w:val="auto"/>
                <w:szCs w:val="21"/>
                <w:highlight w:val="none"/>
              </w:rPr>
              <w:t>检测报告或认证报告内容中若涉及外文说明，必须同时提供对应中文翻译说明，评审依据以中文翻译内容为准，外文说明仅供参考；产品检测报告应为报告正面、背面和附件标注的全部具体内容；产品检验报告的尺寸和清晰度应该能够在电脑上被阅读、识别和判断。</w:t>
            </w:r>
          </w:p>
          <w:p>
            <w:pPr>
              <w:spacing w:line="300" w:lineRule="exact"/>
              <w:rPr>
                <w:rFonts w:ascii="Arial" w:hAnsi="Arial" w:cs="Arial"/>
                <w:color w:val="auto"/>
                <w:szCs w:val="21"/>
                <w:highlight w:val="none"/>
              </w:rPr>
            </w:pPr>
            <w:r>
              <w:rPr>
                <w:rFonts w:ascii="Arial" w:hAnsi="Arial" w:cs="Arial"/>
                <w:color w:val="auto"/>
                <w:szCs w:val="21"/>
                <w:highlight w:val="none"/>
              </w:rPr>
              <w:t>2.本表中如提及品牌型号，仅起参考作用。供应商可选用其他品牌型号替代，但这些替代的品牌型号要实质上参照或相当于或优于参考品牌型号及其技术参数性能（配置）要求。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979" w:type="dxa"/>
            <w:gridSpan w:val="2"/>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备品备件及易损件</w:t>
            </w:r>
          </w:p>
        </w:tc>
        <w:tc>
          <w:tcPr>
            <w:tcW w:w="8207" w:type="dxa"/>
            <w:gridSpan w:val="2"/>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 xml:space="preserve">成交供应商售后服务中，维修使用的备品备件及易损件应为原厂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979" w:type="dxa"/>
            <w:gridSpan w:val="2"/>
            <w:vAlign w:val="center"/>
          </w:tcPr>
          <w:p>
            <w:pPr>
              <w:spacing w:line="360" w:lineRule="exact"/>
              <w:jc w:val="center"/>
              <w:rPr>
                <w:rFonts w:ascii="Arial" w:hAnsi="Arial" w:cs="Arial"/>
                <w:color w:val="auto"/>
                <w:kern w:val="0"/>
                <w:szCs w:val="21"/>
                <w:highlight w:val="none"/>
              </w:rPr>
            </w:pPr>
            <w:r>
              <w:rPr>
                <w:rFonts w:hint="eastAsia" w:ascii="Arial" w:hAnsi="Arial" w:cs="Arial"/>
                <w:color w:val="auto"/>
                <w:kern w:val="0"/>
                <w:szCs w:val="21"/>
                <w:highlight w:val="none"/>
              </w:rPr>
              <w:t>核心产品</w:t>
            </w:r>
          </w:p>
        </w:tc>
        <w:tc>
          <w:tcPr>
            <w:tcW w:w="8207" w:type="dxa"/>
            <w:gridSpan w:val="2"/>
            <w:vAlign w:val="center"/>
          </w:tcPr>
          <w:p>
            <w:pPr>
              <w:spacing w:line="300" w:lineRule="exact"/>
              <w:jc w:val="left"/>
              <w:rPr>
                <w:rFonts w:hint="default" w:ascii="Arial" w:hAnsi="Arial" w:eastAsia="宋体" w:cs="Arial"/>
                <w:color w:val="auto"/>
                <w:kern w:val="0"/>
                <w:szCs w:val="21"/>
                <w:highlight w:val="none"/>
                <w:lang w:val="en-US" w:eastAsia="zh-CN"/>
              </w:rPr>
            </w:pPr>
            <w:r>
              <w:rPr>
                <w:rFonts w:hint="eastAsia" w:ascii="Arial" w:hAnsi="Arial" w:cs="Arial"/>
                <w:color w:val="auto"/>
                <w:kern w:val="0"/>
                <w:szCs w:val="21"/>
                <w:highlight w:val="none"/>
              </w:rPr>
              <w:t>本项目</w:t>
            </w:r>
            <w:r>
              <w:rPr>
                <w:rFonts w:hint="eastAsia" w:ascii="Arial" w:hAnsi="Arial" w:cs="Arial"/>
                <w:color w:val="auto"/>
                <w:kern w:val="0"/>
                <w:szCs w:val="21"/>
                <w:highlight w:val="none"/>
                <w:lang w:val="en-US" w:eastAsia="zh-CN"/>
              </w:rPr>
              <w:t>无核心产品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0186" w:type="dxa"/>
            <w:gridSpan w:val="4"/>
            <w:vAlign w:val="center"/>
          </w:tcPr>
          <w:p>
            <w:pPr>
              <w:widowControl/>
              <w:spacing w:line="240" w:lineRule="exact"/>
              <w:rPr>
                <w:rFonts w:ascii="Arial" w:hAnsi="Arial" w:cs="Arial"/>
                <w:bCs/>
                <w:color w:val="auto"/>
                <w:kern w:val="0"/>
                <w:szCs w:val="21"/>
                <w:highlight w:val="none"/>
              </w:rPr>
            </w:pPr>
            <w:r>
              <w:rPr>
                <w:rFonts w:ascii="Arial" w:hAnsi="Arial" w:cs="Arial"/>
                <w:bCs/>
                <w:color w:val="auto"/>
                <w:kern w:val="0"/>
                <w:szCs w:val="21"/>
                <w:highlight w:val="none"/>
              </w:rPr>
              <w:t>标的名称、数量、需满足的质量、安全、技术规格、物理特性等要求详见下表：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0186" w:type="dxa"/>
            <w:gridSpan w:val="4"/>
            <w:vAlign w:val="center"/>
          </w:tcPr>
          <w:tbl>
            <w:tblPr>
              <w:tblStyle w:val="41"/>
              <w:tblpPr w:leftFromText="180" w:rightFromText="180" w:vertAnchor="text" w:tblpX="-224" w:tblpY="1"/>
              <w:tblOverlap w:val="never"/>
              <w:tblW w:w="102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740"/>
              <w:gridCol w:w="720"/>
              <w:gridCol w:w="720"/>
              <w:gridCol w:w="6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751" w:type="dxa"/>
                  <w:vAlign w:val="center"/>
                </w:tcPr>
                <w:p>
                  <w:pPr>
                    <w:widowControl/>
                    <w:jc w:val="center"/>
                    <w:rPr>
                      <w:rFonts w:hint="eastAsia" w:ascii="宋体" w:hAnsi="宋体" w:cs="宋体"/>
                      <w:b/>
                      <w:color w:val="auto"/>
                      <w:szCs w:val="21"/>
                      <w:highlight w:val="none"/>
                    </w:rPr>
                  </w:pPr>
                  <w:r>
                    <w:rPr>
                      <w:rFonts w:hint="eastAsia" w:ascii="宋体" w:hAnsi="宋体" w:cs="宋体"/>
                      <w:b/>
                      <w:color w:val="auto"/>
                      <w:kern w:val="0"/>
                      <w:szCs w:val="21"/>
                      <w:highlight w:val="none"/>
                    </w:rPr>
                    <w:t>序号</w:t>
                  </w:r>
                </w:p>
              </w:tc>
              <w:tc>
                <w:tcPr>
                  <w:tcW w:w="1740" w:type="dxa"/>
                  <w:vAlign w:val="center"/>
                </w:tcPr>
                <w:p>
                  <w:pPr>
                    <w:widowControl/>
                    <w:jc w:val="center"/>
                    <w:rPr>
                      <w:rFonts w:hint="eastAsia" w:ascii="宋体" w:hAnsi="宋体" w:cs="宋体"/>
                      <w:b/>
                      <w:color w:val="auto"/>
                      <w:szCs w:val="21"/>
                      <w:highlight w:val="none"/>
                      <w:lang w:val="zh-CN"/>
                    </w:rPr>
                  </w:pPr>
                  <w:r>
                    <w:rPr>
                      <w:rFonts w:hint="eastAsia" w:ascii="宋体" w:hAnsi="宋体" w:cs="宋体"/>
                      <w:b/>
                      <w:color w:val="auto"/>
                      <w:kern w:val="0"/>
                      <w:szCs w:val="21"/>
                      <w:highlight w:val="none"/>
                    </w:rPr>
                    <w:t>货物名称</w:t>
                  </w:r>
                </w:p>
              </w:tc>
              <w:tc>
                <w:tcPr>
                  <w:tcW w:w="720" w:type="dxa"/>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bCs/>
                      <w:color w:val="auto"/>
                      <w:kern w:val="0"/>
                      <w:szCs w:val="21"/>
                      <w:highlight w:val="none"/>
                      <w:lang w:bidi="ar"/>
                    </w:rPr>
                    <w:t>数量</w:t>
                  </w:r>
                </w:p>
              </w:tc>
              <w:tc>
                <w:tcPr>
                  <w:tcW w:w="720" w:type="dxa"/>
                  <w:vAlign w:val="center"/>
                </w:tcPr>
                <w:p>
                  <w:pPr>
                    <w:widowControl/>
                    <w:jc w:val="center"/>
                    <w:textAlignment w:val="center"/>
                    <w:rPr>
                      <w:rFonts w:hint="eastAsia" w:ascii="宋体" w:hAnsi="宋体" w:cs="宋体"/>
                      <w:b/>
                      <w:color w:val="auto"/>
                      <w:szCs w:val="21"/>
                      <w:highlight w:val="none"/>
                    </w:rPr>
                  </w:pPr>
                  <w:r>
                    <w:rPr>
                      <w:rFonts w:hint="eastAsia" w:ascii="宋体" w:hAnsi="宋体" w:cs="宋体"/>
                      <w:b/>
                      <w:color w:val="auto"/>
                      <w:szCs w:val="21"/>
                      <w:highlight w:val="none"/>
                    </w:rPr>
                    <w:t>单位</w:t>
                  </w:r>
                </w:p>
              </w:tc>
              <w:tc>
                <w:tcPr>
                  <w:tcW w:w="6298" w:type="dxa"/>
                  <w:vAlign w:val="center"/>
                </w:tcPr>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技术参数要求</w:t>
                  </w:r>
                </w:p>
                <w:p>
                  <w:pPr>
                    <w:widowControl/>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w:t>
                  </w:r>
                </w:p>
              </w:tc>
              <w:tc>
                <w:tcPr>
                  <w:tcW w:w="174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1KW地面数字电视发射机功放</w:t>
                  </w:r>
                </w:p>
              </w:tc>
              <w:tc>
                <w:tcPr>
                  <w:tcW w:w="72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2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 w:val="22"/>
                      <w:szCs w:val="22"/>
                      <w:highlight w:val="none"/>
                      <w:lang w:bidi="ar"/>
                    </w:rPr>
                    <w:t>1.末级功率放大器采用（Ampleon）半导体生产的功放模块。单个功放单元使用2只型号为BLF989E的功放管；</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高效率UHF频段地面数字电视发射机使用埃赋隆（Ampleon）半导体生产的LDMOS（横向双扩散金属氧化物半导体）功率晶体管作为功放单元的核心放大器件。其中BLF989E功放模块由于采用最新的第九代高压（50V）LDMOS（横向双扩散金属氧化物半导体）工艺技术，其具有全频带（470MHz～566MHz、606MHz～702MHz）工作、高增益、高效率、卓越的抗失配能力和健壮性等特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3.功放模块特点：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3.1 单管平均输出功率≥180W；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3.2 选用合适的法兰材料，最低热阻(Rth=0.19K/W)</w:t>
                  </w:r>
                  <w:r>
                    <w:rPr>
                      <w:rFonts w:hint="eastAsia" w:ascii="宋体" w:hAnsi="宋体" w:cs="宋体"/>
                      <w:color w:val="auto"/>
                      <w:kern w:val="0"/>
                      <w:sz w:val="22"/>
                      <w:szCs w:val="22"/>
                      <w:highlight w:val="none"/>
                    </w:rPr>
                    <w:t>确保最佳的散热效果和提高可靠性</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3.3 覆盖UHF全频段（470MHz～566MHz、606MHz～702MHz）；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3.4 确保具有高增益（14dB）和宽带性能；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3.5 实现了50%的效率；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3.6 内部集成ESD（静电释放）保护；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3.7 简单的电源控制；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3.8 具有螺栓式封装（BLF989E）和无耳式封装（BLF989ES），适用于不同的安装结构；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4.发射机功放单元尺寸：112×325×459mm；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5.适用于2022年出厂的中央频点（21CH）DUT-8313（1KW）德芯地面数字电视发射机。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2</w:t>
                  </w:r>
                </w:p>
              </w:tc>
              <w:tc>
                <w:tcPr>
                  <w:tcW w:w="174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1KW地面数字电视发射机功放</w:t>
                  </w:r>
                </w:p>
              </w:tc>
              <w:tc>
                <w:tcPr>
                  <w:tcW w:w="72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72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 w:val="22"/>
                      <w:szCs w:val="22"/>
                      <w:highlight w:val="none"/>
                      <w:lang w:bidi="ar"/>
                    </w:rPr>
                    <w:t>1.末级功率放大器采用（Ampleon）半导体生产的功放模块。单个功放单元使用2只型号为BLF989E的功放管</w:t>
                  </w:r>
                  <w:r>
                    <w:rPr>
                      <w:rFonts w:hint="eastAsia" w:ascii="宋体" w:hAnsi="宋体" w:cs="宋体"/>
                      <w:color w:val="auto"/>
                      <w:kern w:val="0"/>
                      <w:sz w:val="22"/>
                      <w:szCs w:val="22"/>
                      <w:highlight w:val="none"/>
                      <w:lang w:eastAsia="zh-CN" w:bidi="ar"/>
                    </w:rPr>
                    <w:t>；</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高效率UHF频段地面数字电视发射机使用（Ampleon）半导体生产的LDMOS（横向双扩散金属氧化物半导体）功率晶体管作为功放单元的核心放大器件。其中BLF989E功放模块由于采用最新的第九代高压（50V）LDMOS（横向双扩散金属氧化物半导体）工艺技术，其具有全频带（470MHz～566MHz、606MHz～702MHz）工作、高增益、高效率、卓越的抗失配能力和健壮性等特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3.功放模块特点：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3.1 单管平均输出功率≥180W；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3.2 选用合适的法兰材料，最低热阻(Rth=0.19K/W)，确保最佳的散热效果和提高可靠性；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3.3 覆盖UHF全频段（470MHz～566MHz、606MHz～702MHz）；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3.4 确保具有高增益（14dB）和宽带性能；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3.5 实现了50%的效率；</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3.6 内部集成ESD（静电释放）保护；</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3.7 简单的电源控制；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3.8 符合RoHS标准：2002/95/EC；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3.9 具有螺栓式封装（BLF989E）和无耳式封装（BLF989ES），适用于不同的安装结构;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4.发射机功放单元尺寸：112×325×459mm；</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5.适用于2022年出厂的中央频点（28CH）DUT-8313（1KW）德芯地面数字电视发射机。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174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50W地面数字电视发射机开关电源</w:t>
                  </w:r>
                </w:p>
              </w:tc>
              <w:tc>
                <w:tcPr>
                  <w:tcW w:w="72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3</w:t>
                  </w:r>
                </w:p>
              </w:tc>
              <w:tc>
                <w:tcPr>
                  <w:tcW w:w="720"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Cs w:val="21"/>
                      <w:highlight w:val="none"/>
                    </w:rPr>
                  </w:pPr>
                  <w:r>
                    <w:rPr>
                      <w:rFonts w:hint="eastAsia" w:ascii="宋体" w:hAnsi="宋体" w:cs="宋体"/>
                      <w:color w:val="auto"/>
                      <w:kern w:val="0"/>
                      <w:sz w:val="22"/>
                      <w:szCs w:val="22"/>
                      <w:highlight w:val="none"/>
                      <w:lang w:bidi="ar"/>
                    </w:rPr>
                    <w:t>1.输入电压范围宽，在85V~300Vac范围内，能够自动适应国内各地电网电压；</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2.输出功率高达3000W；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3.电源工作效率高达96%；</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4.电源模块及安装机架体积小、1U高度；</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5.其整机的功率因素校正为0.99；</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6.完善的保护功能（过压、过流、过温、短路及防雷）；</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7.支持热插拔，N+1冗余；</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8.内置智能散热风扇，支持风扇的变速功能；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9.工作温度范围：-40+75℃；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10.相对湿度 5%～95%（无凝露）；</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11.功率因素 0.99；</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12.THD ≤5%；</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13输出电压 42～58V DC。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14.适用于2023年出厂的广西频点DUT-8351（50W）德芯壁挂式地面数字电视发射机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4</w:t>
                  </w:r>
                </w:p>
              </w:tc>
              <w:tc>
                <w:tcPr>
                  <w:tcW w:w="174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50W地面数字电视发射机开关电源</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Cs w:val="21"/>
                      <w:highlight w:val="none"/>
                      <w:lang w:bidi="ar"/>
                    </w:rPr>
                  </w:pPr>
                  <w:r>
                    <w:rPr>
                      <w:rStyle w:val="179"/>
                      <w:rFonts w:hint="default"/>
                      <w:color w:val="auto"/>
                      <w:highlight w:val="none"/>
                      <w:lang w:bidi="ar"/>
                    </w:rPr>
                    <w:t>1.采用650W的优质高效开关电源一个</w:t>
                  </w:r>
                  <w:r>
                    <w:rPr>
                      <w:rStyle w:val="179"/>
                      <w:rFonts w:hint="default"/>
                      <w:color w:val="auto"/>
                      <w:highlight w:val="none"/>
                      <w:lang w:bidi="ar"/>
                    </w:rPr>
                    <w:br w:type="textWrapping"/>
                  </w:r>
                  <w:r>
                    <w:rPr>
                      <w:rStyle w:val="179"/>
                      <w:rFonts w:hint="default"/>
                      <w:color w:val="auto"/>
                      <w:highlight w:val="none"/>
                      <w:lang w:bidi="ar"/>
                    </w:rPr>
                    <w:t>2.具有两路输出，主路50V/12A的辅路12V/3A</w:t>
                  </w:r>
                  <w:r>
                    <w:rPr>
                      <w:rStyle w:val="179"/>
                      <w:rFonts w:hint="default"/>
                      <w:color w:val="auto"/>
                      <w:highlight w:val="none"/>
                      <w:lang w:bidi="ar"/>
                    </w:rPr>
                    <w:br w:type="textWrapping"/>
                  </w:r>
                  <w:r>
                    <w:rPr>
                      <w:rStyle w:val="179"/>
                      <w:rFonts w:hint="default"/>
                      <w:color w:val="auto"/>
                      <w:highlight w:val="none"/>
                      <w:lang w:bidi="ar"/>
                    </w:rPr>
                    <w:t>3.工作温度-10~60℃</w:t>
                  </w:r>
                  <w:r>
                    <w:rPr>
                      <w:rStyle w:val="179"/>
                      <w:rFonts w:hint="default"/>
                      <w:color w:val="auto"/>
                      <w:highlight w:val="none"/>
                      <w:lang w:bidi="ar"/>
                    </w:rPr>
                    <w:br w:type="textWrapping"/>
                  </w:r>
                  <w:r>
                    <w:rPr>
                      <w:rStyle w:val="179"/>
                      <w:rFonts w:hint="default"/>
                      <w:color w:val="auto"/>
                      <w:highlight w:val="none"/>
                      <w:lang w:bidi="ar"/>
                    </w:rPr>
                    <w:t>4.工作电压90~264V AC</w:t>
                  </w:r>
                  <w:r>
                    <w:rPr>
                      <w:rStyle w:val="179"/>
                      <w:rFonts w:hint="default"/>
                      <w:color w:val="auto"/>
                      <w:highlight w:val="none"/>
                      <w:lang w:bidi="ar"/>
                    </w:rPr>
                    <w:br w:type="textWrapping"/>
                  </w:r>
                  <w:r>
                    <w:rPr>
                      <w:rStyle w:val="179"/>
                      <w:rFonts w:hint="default"/>
                      <w:color w:val="auto"/>
                      <w:highlight w:val="none"/>
                      <w:lang w:bidi="ar"/>
                    </w:rPr>
                    <w:t>5.效率≥90%</w:t>
                  </w:r>
                  <w:r>
                    <w:rPr>
                      <w:rStyle w:val="179"/>
                      <w:rFonts w:hint="default"/>
                      <w:color w:val="auto"/>
                      <w:highlight w:val="none"/>
                      <w:lang w:bidi="ar"/>
                    </w:rPr>
                    <w:br w:type="textWrapping"/>
                  </w:r>
                  <w:r>
                    <w:rPr>
                      <w:rStyle w:val="179"/>
                      <w:rFonts w:hint="default"/>
                      <w:color w:val="auto"/>
                      <w:highlight w:val="none"/>
                      <w:lang w:bidi="ar"/>
                    </w:rPr>
                    <w:t>6.具有过压、过流短路保护，采用底板导热散热方式，无散热风扇可靠性高</w:t>
                  </w:r>
                  <w:r>
                    <w:rPr>
                      <w:rStyle w:val="179"/>
                      <w:rFonts w:hint="default"/>
                      <w:color w:val="auto"/>
                      <w:highlight w:val="none"/>
                      <w:lang w:bidi="ar"/>
                    </w:rPr>
                    <w:br w:type="textWrapping"/>
                  </w:r>
                  <w:r>
                    <w:rPr>
                      <w:rStyle w:val="179"/>
                      <w:rFonts w:hint="default"/>
                      <w:color w:val="auto"/>
                      <w:highlight w:val="none"/>
                      <w:lang w:bidi="ar"/>
                    </w:rPr>
                    <w:t>7.适用于2023年出厂的广西频点KFS-Ⅱ-651（50W）凯腾壁挂式地面数字电视发射机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5</w:t>
                  </w:r>
                </w:p>
              </w:tc>
              <w:tc>
                <w:tcPr>
                  <w:tcW w:w="174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50W地面数字电视发射机功放</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1.50W地面数字电视发射机的末级功率放大器使用采用埃赋隆（Ampleon）半导体生产的功放模块1只BLF888A;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2.功放模块特点：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2.1 单管平均输出功率≥120W；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2.2 选用合适的法兰材料，最低热阻(Rth=0.15K/W)，确保最佳的散热效果和提高可靠性；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2.3 覆盖UHF全频段（470MHz～566MHz、606MHz～702MHz）；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2.4 内置输入匹配，确保具有高增益（21dB）和宽带性能；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2.5 高可靠性，驻波比VSWR＞40:1；</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2.6 简单的电源控制；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2.7 符合RoHS标准：2002/95/EC；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2.8 具有螺栓式封装（BLF888A）和无耳式封装（BLF888AS），适用于不同的安装结构;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3.适用于2022年出厂的中央频点（CH21）DUT-8351（50W）德芯立柜式地面数字电视发射机。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6</w:t>
                  </w:r>
                </w:p>
              </w:tc>
              <w:tc>
                <w:tcPr>
                  <w:tcW w:w="174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50W地面数字电视发射机功放</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1.50W地面数字电视发射机的末级功率放大器使用采用埃赋隆（Ampleon）半导体生产的功放模块1只BLF888A;</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2.功放模块特点：</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2.1 单管平均输出功率≥120W；</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2.2 选用合适的法兰材料，最低热阻(Rth=0.15K/W)，确保最佳的散热效果和提高可靠性；</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2.3 覆盖UHF全频段（470MHz～566MHz、606MHz～702MHz）；</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2.4 内置输入匹配，确保具有高增益（21dB）和宽带性能；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2.5 高可靠性，驻波比VSWR＞40:1；</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2.6 简单的电源控制；</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2.7 符合RoHS标准：2002/95/EC；</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2.8 具有螺栓式封装（BLF888A）和无耳式封装（BLF888AS），适用于不同的安装结构;</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3.适用于2022年出厂的中央频点（CH28）DUT-8351（50W）德芯立柜式地面数字电视发射机。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7</w:t>
                  </w:r>
                </w:p>
              </w:tc>
              <w:tc>
                <w:tcPr>
                  <w:tcW w:w="174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300W地面数字电视发射机开关电源</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26</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6298" w:type="dxa"/>
                  <w:vAlign w:val="center"/>
                </w:tcPr>
                <w:p>
                  <w:pPr>
                    <w:widowControl/>
                    <w:numPr>
                      <w:ilvl w:val="0"/>
                      <w:numId w:val="1"/>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工作温度–25℃~+75℃；</w:t>
                  </w:r>
                </w:p>
                <w:p>
                  <w:pPr>
                    <w:widowControl/>
                    <w:numPr>
                      <w:ilvl w:val="0"/>
                      <w:numId w:val="1"/>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存储温度–40℃~+75℃；</w:t>
                  </w:r>
                </w:p>
                <w:p>
                  <w:pPr>
                    <w:widowControl/>
                    <w:numPr>
                      <w:ilvl w:val="0"/>
                      <w:numId w:val="1"/>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相对湿度5％~95％（无冷凝）；</w:t>
                  </w:r>
                </w:p>
                <w:p>
                  <w:pPr>
                    <w:widowControl/>
                    <w:numPr>
                      <w:ilvl w:val="0"/>
                      <w:numId w:val="1"/>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海拔高度≤5000m（3000m~5000m，海拔每升高200m，温度降低1ºC。）；</w:t>
                  </w:r>
                </w:p>
                <w:p>
                  <w:pPr>
                    <w:widowControl/>
                    <w:numPr>
                      <w:ilvl w:val="0"/>
                      <w:numId w:val="1"/>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效率，峰值效率：&gt;96％；&gt;95% (230V AC，30%~80%负载）；6.高×宽×深40.8mm×105mm×269mm，配固定座，重量&lt;2kg；7.冷却方式内置风扇（具有温控调速功能）输入特性；</w:t>
                  </w:r>
                </w:p>
                <w:p>
                  <w:pPr>
                    <w:widowControl/>
                    <w:numPr>
                      <w:ilvl w:val="0"/>
                      <w:numId w:val="2"/>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工作电压85V AC~290V AC；</w:t>
                  </w:r>
                </w:p>
                <w:p>
                  <w:pPr>
                    <w:widowControl/>
                    <w:numPr>
                      <w:ilvl w:val="0"/>
                      <w:numId w:val="2"/>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频率45Hz~66Hz，额定值为50Hz/60Hz；</w:t>
                  </w:r>
                </w:p>
                <w:p>
                  <w:pPr>
                    <w:widowControl/>
                    <w:numPr>
                      <w:ilvl w:val="0"/>
                      <w:numId w:val="2"/>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额定输入电流≤16A；</w:t>
                  </w:r>
                </w:p>
                <w:p>
                  <w:pPr>
                    <w:widowControl/>
                    <w:numPr>
                      <w:ilvl w:val="0"/>
                      <w:numId w:val="2"/>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功率因数≥0.99（100%负载）；</w:t>
                  </w:r>
                </w:p>
                <w:p>
                  <w:pPr>
                    <w:widowControl/>
                    <w:numPr>
                      <w:ilvl w:val="0"/>
                      <w:numId w:val="2"/>
                    </w:numPr>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THD ≤5％（50%~100%负载）；</w:t>
                  </w:r>
                  <w:r>
                    <w:rPr>
                      <w:rFonts w:hint="eastAsia" w:ascii="宋体" w:hAnsi="宋体" w:cs="宋体"/>
                      <w:color w:val="auto"/>
                      <w:kern w:val="0"/>
                      <w:sz w:val="22"/>
                      <w:szCs w:val="22"/>
                      <w:highlight w:val="none"/>
                      <w:lang w:bidi="ar"/>
                    </w:rPr>
                    <w:br w:type="textWrapping"/>
                  </w:r>
                  <w:r>
                    <w:rPr>
                      <w:rFonts w:hint="eastAsia" w:ascii="宋体" w:hAnsi="宋体" w:cs="宋体"/>
                      <w:color w:val="auto"/>
                      <w:kern w:val="0"/>
                      <w:sz w:val="22"/>
                      <w:szCs w:val="22"/>
                      <w:highlight w:val="none"/>
                      <w:lang w:bidi="ar"/>
                    </w:rPr>
                    <w:t>13.输出特性：</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13.1 输出电压42V DC~58V DC，额定值为53.5VDC；</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13.2 线性降功率3000W（176V AC~290V AC），3000W~1250W（175V AC~85V AC）；</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13.3 稳压精度≤±0.2％Vo；</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rPr>
                    <w:t>13.4 纹波和噪声≤200mVp-p（带宽≤20MHz）；</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13.5 动态响应（1）25%~50%、50%~75%跳变：−超调：≤±5%−恢复时间：≤200μs（±0.6%</w:t>
                  </w:r>
                  <w:r>
                    <w:rPr>
                      <w:rFonts w:hint="eastAsia" w:ascii="宋体" w:hAnsi="宋体" w:cs="宋体"/>
                      <w:color w:val="auto"/>
                      <w:kern w:val="0"/>
                      <w:sz w:val="22"/>
                      <w:szCs w:val="22"/>
                      <w:highlight w:val="none"/>
                    </w:rPr>
                    <w:t>Vo）；（2）0</w:t>
                  </w:r>
                  <w:r>
                    <w:rPr>
                      <w:rFonts w:hint="eastAsia" w:ascii="宋体" w:hAnsi="宋体" w:cs="宋体"/>
                      <w:color w:val="auto"/>
                      <w:kern w:val="0"/>
                      <w:sz w:val="22"/>
                      <w:szCs w:val="22"/>
                      <w:highlight w:val="none"/>
                    </w:rPr>
                    <w:t>%~90%跳变：−恢复时间1：≤50μs（±5%Vo）−恢复时间2：≤1ms（±1%Vo）；</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13.6 待机功耗≤5W；</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13.7 开机启动时间3s~10s；</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13.8 输出保持时间&gt;10ms；</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13.9 电话衡重杂音</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电压≤2mV，宽频杂音电压≤50mV（3.4kHz~150kHz）≤20mV（0.15MHz~30MHz）；</w:t>
                  </w:r>
                  <w:r>
                    <w:rPr>
                      <w:rFonts w:hint="eastAsia" w:ascii="宋体" w:hAnsi="宋体" w:cs="宋体"/>
                      <w:color w:val="auto"/>
                      <w:kern w:val="0"/>
                      <w:sz w:val="22"/>
                      <w:szCs w:val="22"/>
                      <w:highlight w:val="none"/>
                    </w:rPr>
                    <w:br w:type="textWrapping"/>
                  </w:r>
                  <w:r>
                    <w:rPr>
                      <w:rFonts w:hint="eastAsia" w:ascii="宋体" w:hAnsi="宋体" w:cs="宋体"/>
                      <w:color w:val="auto"/>
                      <w:kern w:val="0"/>
                      <w:sz w:val="22"/>
                      <w:szCs w:val="22"/>
                      <w:highlight w:val="none"/>
                    </w:rPr>
                    <w:t>14.适用于300W东洲罗顿地面数字电视发射机。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8</w:t>
                  </w:r>
                </w:p>
              </w:tc>
              <w:tc>
                <w:tcPr>
                  <w:tcW w:w="174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1KW地面数字电视发射机功放</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1.工作频率</w:t>
                  </w:r>
                  <w:r>
                    <w:rPr>
                      <w:rFonts w:hint="eastAsia" w:ascii="宋体" w:hAnsi="宋体" w:cs="宋体"/>
                      <w:color w:val="auto"/>
                      <w:kern w:val="0"/>
                      <w:sz w:val="22"/>
                      <w:szCs w:val="22"/>
                      <w:highlight w:val="none"/>
                      <w:lang w:bidi="ar"/>
                    </w:rPr>
                    <w:tab/>
                  </w:r>
                  <w:r>
                    <w:rPr>
                      <w:rFonts w:hint="eastAsia" w:ascii="宋体" w:hAnsi="宋体" w:cs="宋体"/>
                      <w:color w:val="auto"/>
                      <w:kern w:val="0"/>
                      <w:sz w:val="22"/>
                      <w:szCs w:val="22"/>
                      <w:highlight w:val="none"/>
                      <w:lang w:bidi="ar"/>
                    </w:rPr>
                    <w:t>符合GB/T 14433-1993有关规定；</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2.单频网模式频率调节步长1Hz；</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3.频率稳定度（3个月</w:t>
                  </w:r>
                  <w:r>
                    <w:rPr>
                      <w:rFonts w:hint="eastAsia" w:ascii="宋体" w:hAnsi="宋体" w:cs="宋体"/>
                      <w:color w:val="auto"/>
                      <w:kern w:val="0"/>
                      <w:sz w:val="22"/>
                      <w:szCs w:val="22"/>
                      <w:highlight w:val="none"/>
                      <w:lang w:bidi="ar"/>
                    </w:rPr>
                    <w:t>）</w:t>
                  </w:r>
                  <w:r>
                    <w:rPr>
                      <w:rFonts w:hint="eastAsia" w:ascii="宋体" w:hAnsi="宋体" w:cs="宋体"/>
                      <w:color w:val="auto"/>
                      <w:kern w:val="0"/>
                      <w:sz w:val="22"/>
                      <w:szCs w:val="22"/>
                      <w:highlight w:val="none"/>
                      <w:lang w:bidi="ar"/>
                    </w:rPr>
                    <w:tab/>
                  </w:r>
                  <w:r>
                    <w:rPr>
                      <w:rFonts w:hint="eastAsia" w:ascii="宋体" w:hAnsi="宋体" w:cs="宋体"/>
                      <w:color w:val="auto"/>
                      <w:kern w:val="0"/>
                      <w:sz w:val="22"/>
                      <w:szCs w:val="22"/>
                      <w:highlight w:val="none"/>
                      <w:lang w:bidi="ar"/>
                    </w:rPr>
                    <w:t>①采用内部参考源时，频率稳定</w:t>
                  </w:r>
                  <w:r>
                    <w:rPr>
                      <w:rFonts w:hint="eastAsia" w:ascii="宋体" w:hAnsi="宋体" w:cs="宋体"/>
                      <w:color w:val="auto"/>
                      <w:kern w:val="0"/>
                      <w:sz w:val="22"/>
                      <w:szCs w:val="22"/>
                      <w:highlight w:val="none"/>
                      <w:lang w:bidi="ar"/>
                    </w:rPr>
                    <w:t>度≤1</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bidi="ar"/>
                    </w:rPr>
                    <w:t>10-7；②采用外接参考源时，≤1</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bidi="ar"/>
                    </w:rPr>
                    <w:t>10-10；</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4.频率准确度①对于MFN模式，频率准确度≤±100Hz；②对于SFN模式，频率准确度≤±1Hz；</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5.射频输出功率稳定度±0.5dB；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6.输出负载的反射损耗（8MHz带内）正常工作：≥26dB；允许工作：≥20dB；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7.带肩（在偏离中心频率±4.2MHz处；在滤波器之前测量）≤-36dB；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8.带内不平坦度（fc±3.591MHz）</w:t>
                  </w:r>
                  <w:r>
                    <w:rPr>
                      <w:rFonts w:hint="eastAsia" w:ascii="宋体" w:hAnsi="宋体" w:cs="宋体"/>
                      <w:color w:val="auto"/>
                      <w:kern w:val="0"/>
                      <w:sz w:val="22"/>
                      <w:szCs w:val="22"/>
                      <w:highlight w:val="none"/>
                      <w:lang w:bidi="ar"/>
                    </w:rPr>
                    <w:tab/>
                  </w:r>
                  <w:r>
                    <w:rPr>
                      <w:rFonts w:hint="eastAsia" w:ascii="宋体" w:hAnsi="宋体" w:cs="宋体"/>
                      <w:color w:val="auto"/>
                      <w:kern w:val="0"/>
                      <w:sz w:val="22"/>
                      <w:szCs w:val="22"/>
                      <w:highlight w:val="none"/>
                      <w:lang w:bidi="ar"/>
                    </w:rPr>
                    <w:t>在±0.5dB以内（非双导频模式下）；</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9.带外频谱特性符合GB20600-2006中带外频谱模板有关规定；</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10.调制误差率（MER）≥32dB；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11.邻频道内的发射功率与带内发射功率的比≤－45dB，满足邻频道内的发射功率≤13mW；</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12.邻频道外的发射功率与带内发射功率的比≤－60dB，或满足邻频道外的发射功率≤13mW；</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13.整机效率</w:t>
                  </w:r>
                  <w:r>
                    <w:rPr>
                      <w:rFonts w:hint="eastAsia" w:ascii="宋体" w:hAnsi="宋体" w:cs="宋体"/>
                      <w:color w:val="auto"/>
                      <w:kern w:val="0"/>
                      <w:sz w:val="22"/>
                      <w:szCs w:val="22"/>
                      <w:highlight w:val="none"/>
                      <w:lang w:bidi="ar"/>
                    </w:rPr>
                    <w:tab/>
                  </w:r>
                  <w:r>
                    <w:rPr>
                      <w:rFonts w:hint="eastAsia" w:ascii="宋体" w:hAnsi="宋体" w:cs="宋体"/>
                      <w:color w:val="auto"/>
                      <w:kern w:val="0"/>
                      <w:sz w:val="22"/>
                      <w:szCs w:val="22"/>
                      <w:highlight w:val="none"/>
                      <w:lang w:bidi="ar"/>
                    </w:rPr>
                    <w:t>≥20%(注：10、12、13项应在滤波器之后测量，其余在滤波器之前测量)；</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14.本振相位噪声:序号偏移中心频率（Hz）</w:t>
                  </w:r>
                  <w:r>
                    <w:rPr>
                      <w:rFonts w:hint="eastAsia" w:ascii="宋体" w:hAnsi="宋体" w:cs="宋体"/>
                      <w:color w:val="auto"/>
                      <w:kern w:val="0"/>
                      <w:sz w:val="22"/>
                      <w:szCs w:val="22"/>
                      <w:highlight w:val="none"/>
                      <w:lang w:bidi="ar"/>
                    </w:rPr>
                    <w:tab/>
                  </w:r>
                  <w:r>
                    <w:rPr>
                      <w:rFonts w:hint="eastAsia" w:ascii="宋体" w:hAnsi="宋体" w:cs="宋体"/>
                      <w:color w:val="auto"/>
                      <w:kern w:val="0"/>
                      <w:sz w:val="22"/>
                      <w:szCs w:val="22"/>
                      <w:highlight w:val="none"/>
                      <w:lang w:bidi="ar"/>
                    </w:rPr>
                    <w:t>本振相位噪声（dBc/Hz）1</w:t>
                  </w:r>
                  <w:r>
                    <w:rPr>
                      <w:rFonts w:hint="eastAsia" w:ascii="宋体" w:hAnsi="宋体" w:cs="宋体"/>
                      <w:color w:val="auto"/>
                      <w:kern w:val="0"/>
                      <w:sz w:val="22"/>
                      <w:szCs w:val="22"/>
                      <w:highlight w:val="none"/>
                      <w:lang w:bidi="ar"/>
                    </w:rPr>
                    <w:tab/>
                  </w:r>
                  <w:r>
                    <w:rPr>
                      <w:rFonts w:hint="eastAsia" w:ascii="宋体" w:hAnsi="宋体" w:cs="宋体"/>
                      <w:color w:val="auto"/>
                      <w:kern w:val="0"/>
                      <w:sz w:val="22"/>
                      <w:szCs w:val="22"/>
                      <w:highlight w:val="none"/>
                      <w:lang w:bidi="ar"/>
                    </w:rPr>
                    <w:t>10＜-60   2100＜-75  31k＜-85  410k＜-95  5100k＜-110  61M＜-115；</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15.整机输出接口：ф40直馈 50Ω；</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16.适用于600-1KW东洲罗顿全频段地面数字电视发射机。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3" w:hRule="atLeast"/>
              </w:trPr>
              <w:tc>
                <w:tcPr>
                  <w:tcW w:w="751" w:type="dxa"/>
                  <w:vAlign w:val="center"/>
                </w:tcPr>
                <w:p>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9</w:t>
                  </w:r>
                </w:p>
              </w:tc>
              <w:tc>
                <w:tcPr>
                  <w:tcW w:w="174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300W地面数字电视发射机功放</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720" w:type="dxa"/>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个</w:t>
                  </w:r>
                </w:p>
              </w:tc>
              <w:tc>
                <w:tcPr>
                  <w:tcW w:w="6298" w:type="dxa"/>
                  <w:vAlign w:val="center"/>
                </w:tcPr>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1.工作频率符合GB/T 14433-1993 有关规定;</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2.单频网模式频率调节步长 1Hz；</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3.频率稳定度（3个月） ①采用内部参考源时，频率稳定度≤110-7；②采用外接参考源时，频</w:t>
                  </w:r>
                  <w:r>
                    <w:rPr>
                      <w:rFonts w:hint="eastAsia" w:ascii="宋体" w:hAnsi="宋体" w:cs="宋体"/>
                      <w:color w:val="auto"/>
                      <w:kern w:val="0"/>
                      <w:sz w:val="22"/>
                      <w:szCs w:val="22"/>
                      <w:highlight w:val="none"/>
                      <w:lang w:bidi="ar"/>
                    </w:rPr>
                    <w:t>率稳定度≤1</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bidi="ar"/>
                    </w:rPr>
                    <w:t>10-10；</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4.频率准确度 ①对于MFN模式，频率准确度≤±100Hz；②对于SFN模式，频率准确度≤±1Hz；</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5.射频输出功率稳定度 ±0.5dB；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6.输出负载的反射损耗（8MHz带内）正常工作：≥26dB；允许工作：≥20dB；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7.带肩（在偏离中心频率±4.2MHz处；在滤波器之前测量） ≤-36dB；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8.带内不平坦度（fc±3.591MHz）在±0.5dB以内（非双导频模式下）；</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9.带外频谱特性 符合GB20600-2006中带外频谱模板有关规定；</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10.调制误差率（MER） ≥32dB；</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11.邻频道内的发射功率邻频道内的发射功率与带内发射功率的比≤－45dB，满足邻频道内的发射功率≤13mW；</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12.邻频道外的发射功率 邻频道外的发射功率与带内发射功率的比≤－60dB，或满足邻频道外的发射功率≤13mW；</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13 .整机效率 ≥20％(注：10、12、13项应在滤波器之后测量，其余在滤波器之前测量)；</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 xml:space="preserve">14.本振相位噪声:序号 偏移中心频率（Hz） 本振相位噪声（dBc/Hz）,110＜-60  2100＜-75  31k＜-85  410k＜-95  </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5100k＜-110  61M</w:t>
                  </w:r>
                  <w:r>
                    <w:rPr>
                      <w:rFonts w:hint="eastAsia" w:ascii="宋体" w:hAnsi="宋体" w:cs="宋体"/>
                      <w:color w:val="auto"/>
                      <w:kern w:val="0"/>
                      <w:sz w:val="22"/>
                      <w:szCs w:val="22"/>
                      <w:highlight w:val="none"/>
                      <w:lang w:bidi="ar"/>
                    </w:rPr>
                    <w:t>＜-115；</w:t>
                  </w:r>
                </w:p>
                <w:p>
                  <w:pPr>
                    <w:widowControl/>
                    <w:jc w:val="left"/>
                    <w:textAlignment w:val="center"/>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15.整机输出接口：</w:t>
                  </w:r>
                  <w:r>
                    <w:rPr>
                      <w:rStyle w:val="181"/>
                      <w:color w:val="auto"/>
                      <w:highlight w:val="none"/>
                      <w:lang w:bidi="ar"/>
                    </w:rPr>
                    <w:t>ф</w:t>
                  </w:r>
                  <w:r>
                    <w:rPr>
                      <w:rFonts w:hint="eastAsia" w:ascii="宋体" w:hAnsi="宋体" w:cs="宋体"/>
                      <w:color w:val="auto"/>
                      <w:kern w:val="0"/>
                      <w:sz w:val="22"/>
                      <w:szCs w:val="22"/>
                      <w:highlight w:val="none"/>
                      <w:lang w:bidi="ar"/>
                    </w:rPr>
                    <w:t>40直馈50</w:t>
                  </w:r>
                  <w:r>
                    <w:rPr>
                      <w:rStyle w:val="181"/>
                      <w:color w:val="auto"/>
                      <w:highlight w:val="none"/>
                      <w:lang w:bidi="ar"/>
                    </w:rPr>
                    <w:t>Ω</w:t>
                  </w:r>
                  <w:r>
                    <w:rPr>
                      <w:rStyle w:val="181"/>
                      <w:rFonts w:hint="eastAsia"/>
                      <w:color w:val="auto"/>
                      <w:highlight w:val="none"/>
                      <w:lang w:bidi="ar"/>
                    </w:rPr>
                    <w:t>；</w:t>
                  </w:r>
                </w:p>
                <w:p>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 w:val="22"/>
                      <w:szCs w:val="22"/>
                      <w:highlight w:val="none"/>
                      <w:lang w:bidi="ar"/>
                    </w:rPr>
                    <w:t>16.适用于300W东洲罗顿全频段地面数字电视发射机。</w:t>
                  </w:r>
                </w:p>
              </w:tc>
            </w:tr>
          </w:tbl>
          <w:p>
            <w:pPr>
              <w:widowControl/>
              <w:spacing w:line="240" w:lineRule="exact"/>
              <w:rPr>
                <w:rFonts w:ascii="Arial" w:hAnsi="Arial" w:cs="Arial"/>
                <w:bCs/>
                <w:color w:val="auto"/>
                <w:kern w:val="0"/>
                <w:szCs w:val="21"/>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18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exact"/>
              <w:jc w:val="left"/>
              <w:rPr>
                <w:rFonts w:ascii="Arial" w:hAnsi="Arial" w:cs="Arial"/>
                <w:color w:val="auto"/>
                <w:szCs w:val="21"/>
                <w:highlight w:val="none"/>
              </w:rPr>
            </w:pPr>
            <w:r>
              <w:rPr>
                <w:rFonts w:ascii="Arial" w:hAnsi="Arial" w:cs="Arial"/>
                <w:b/>
                <w:color w:val="auto"/>
                <w:kern w:val="0"/>
                <w:szCs w:val="21"/>
                <w:highlight w:val="none"/>
              </w:rPr>
              <w:t>四、</w:t>
            </w:r>
            <w:r>
              <w:rPr>
                <w:rFonts w:ascii="Arial" w:hAnsi="Arial" w:cs="Arial"/>
                <w:b/>
                <w:color w:val="auto"/>
                <w:kern w:val="0"/>
                <w:szCs w:val="21"/>
                <w:highlight w:val="none"/>
                <w:shd w:val="pct10" w:color="auto" w:fill="FFFFFF"/>
              </w:rPr>
              <w:t>本项目商务要求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序号</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kern w:val="0"/>
                <w:szCs w:val="21"/>
                <w:highlight w:val="none"/>
              </w:rPr>
              <w:t>商务条款</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jc w:val="center"/>
              <w:rPr>
                <w:rFonts w:ascii="Arial" w:hAnsi="Arial" w:cs="Arial"/>
                <w:color w:val="auto"/>
                <w:szCs w:val="21"/>
                <w:highlight w:val="none"/>
              </w:rPr>
            </w:pPr>
            <w:r>
              <w:rPr>
                <w:rFonts w:ascii="Arial" w:hAnsi="Arial" w:cs="Arial"/>
                <w:color w:val="auto"/>
                <w:kern w:val="0"/>
                <w:szCs w:val="21"/>
                <w:highlight w:val="none"/>
              </w:rPr>
              <w:t>商务</w:t>
            </w:r>
            <w:r>
              <w:rPr>
                <w:rFonts w:ascii="Arial" w:hAnsi="Arial" w:cs="Arial"/>
                <w:color w:val="auto"/>
                <w:szCs w:val="21"/>
                <w:highlight w:val="none"/>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报价要求</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cs="Arial"/>
                <w:color w:val="auto"/>
                <w:szCs w:val="21"/>
                <w:highlight w:val="none"/>
              </w:rPr>
            </w:pPr>
            <w:r>
              <w:rPr>
                <w:rFonts w:ascii="Arial" w:hAnsi="Arial" w:cs="Arial"/>
                <w:color w:val="auto"/>
                <w:szCs w:val="21"/>
                <w:highlight w:val="none"/>
              </w:rPr>
              <w:t>本次报价须为人民币报价，</w:t>
            </w:r>
            <w:r>
              <w:rPr>
                <w:rFonts w:ascii="Arial" w:hAnsi="Arial" w:cs="Arial"/>
                <w:color w:val="auto"/>
                <w:kern w:val="0"/>
                <w:szCs w:val="21"/>
                <w:highlight w:val="none"/>
              </w:rPr>
              <w:t>包含：产品价、运输费（含装卸费）、保险费、安装调试费、税费、培训费、产品检测费、产品质保期内维护等费用。</w:t>
            </w:r>
            <w:r>
              <w:rPr>
                <w:rFonts w:ascii="Arial" w:hAnsi="Arial" w:cs="Arial"/>
                <w:color w:val="auto"/>
                <w:szCs w:val="21"/>
                <w:highlight w:val="none"/>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2</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质量保证</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供应商应明确承诺：技术参数要求表中如无特别要求，则质保期为自验收合格之日起一年，技术参数要求表中有特别要求的则以技术参数要求表为准。</w:t>
            </w:r>
          </w:p>
          <w:p>
            <w:pPr>
              <w:spacing w:line="300" w:lineRule="exact"/>
              <w:jc w:val="left"/>
              <w:rPr>
                <w:rFonts w:ascii="Arial" w:hAnsi="Arial" w:cs="Arial"/>
                <w:color w:val="auto"/>
                <w:szCs w:val="21"/>
                <w:highlight w:val="none"/>
              </w:rPr>
            </w:pPr>
            <w:r>
              <w:rPr>
                <w:rFonts w:hint="eastAsia" w:ascii="Arial" w:hAnsi="Arial" w:cs="Arial"/>
                <w:color w:val="auto"/>
                <w:szCs w:val="21"/>
                <w:highlight w:val="none"/>
              </w:rPr>
              <w:t>2．属于国家规定“三包”范围的，其质量保证期不得低于“三包”规定。</w:t>
            </w:r>
          </w:p>
          <w:p>
            <w:pPr>
              <w:spacing w:line="300" w:lineRule="exact"/>
              <w:jc w:val="left"/>
              <w:rPr>
                <w:rFonts w:ascii="Arial" w:hAnsi="Arial" w:cs="Arial"/>
                <w:color w:val="auto"/>
                <w:szCs w:val="21"/>
                <w:highlight w:val="none"/>
              </w:rPr>
            </w:pPr>
            <w:r>
              <w:rPr>
                <w:rFonts w:hint="eastAsia" w:ascii="Arial" w:hAnsi="Arial" w:cs="Arial"/>
                <w:color w:val="auto"/>
                <w:szCs w:val="21"/>
                <w:highlight w:val="none"/>
              </w:rPr>
              <w:t>3．质量保证期承诺优于国家“三包”规定的，或优于谈判文件规定的，按成交供应商实际承诺执行。</w:t>
            </w:r>
          </w:p>
          <w:p>
            <w:pPr>
              <w:spacing w:line="300" w:lineRule="exact"/>
              <w:jc w:val="left"/>
              <w:rPr>
                <w:rFonts w:ascii="Arial" w:hAnsi="Arial" w:cs="Arial"/>
                <w:color w:val="auto"/>
                <w:szCs w:val="21"/>
                <w:highlight w:val="none"/>
              </w:rPr>
            </w:pPr>
            <w:r>
              <w:rPr>
                <w:rFonts w:hint="eastAsia" w:ascii="Arial" w:hAnsi="Arial" w:cs="Arial"/>
                <w:color w:val="auto"/>
                <w:szCs w:val="21"/>
                <w:highlight w:val="none"/>
              </w:rPr>
              <w:t>4. 成交供应商售后服务中，维修使用的备品备件及易损件应为原厂配件，未经采购人同意不得使用非原厂配件，常用的、容易损坏的备品备件及易损件的价格清单须在响应文件中列出。</w:t>
            </w:r>
          </w:p>
          <w:p>
            <w:pPr>
              <w:spacing w:line="360" w:lineRule="exact"/>
              <w:rPr>
                <w:rFonts w:ascii="Arial" w:hAnsi="Arial" w:cs="Arial"/>
                <w:color w:val="auto"/>
                <w:szCs w:val="21"/>
                <w:highlight w:val="none"/>
              </w:rPr>
            </w:pPr>
            <w:r>
              <w:rPr>
                <w:rFonts w:hint="eastAsia" w:ascii="Arial" w:hAnsi="Arial" w:cs="Arial"/>
                <w:color w:val="auto"/>
                <w:szCs w:val="21"/>
                <w:highlight w:val="none"/>
              </w:rPr>
              <w:t>5.合同产品或服务由制造商（指产品生产制造商或服务实际提供人）负责质保期内的售后服务的，应当在响应文件中予以明确说明，制造商提供的售后服务也应达到谈判文件要求的标准，相关的售后服务费用由供应商向制造商支付，供应商可视情况在响应报价中予以考虑，采购人不予另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3</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合同签订日期</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color w:val="auto"/>
                <w:szCs w:val="21"/>
                <w:highlight w:val="none"/>
              </w:rPr>
            </w:pPr>
            <w:r>
              <w:rPr>
                <w:rFonts w:ascii="Arial" w:hAnsi="Arial" w:cs="Arial"/>
                <w:color w:val="auto"/>
                <w:szCs w:val="21"/>
                <w:highlight w:val="none"/>
              </w:rPr>
              <w:t>成交通知书发出后</w:t>
            </w:r>
            <w:r>
              <w:rPr>
                <w:rFonts w:hint="eastAsia" w:ascii="Arial" w:hAnsi="Arial" w:cs="Arial"/>
                <w:color w:val="auto"/>
                <w:kern w:val="0"/>
                <w:szCs w:val="21"/>
                <w:highlight w:val="none"/>
                <w:lang w:val="en-US" w:eastAsia="zh-CN"/>
              </w:rPr>
              <w:t>7</w:t>
            </w:r>
            <w:r>
              <w:rPr>
                <w:rFonts w:ascii="Arial" w:hAnsi="Arial" w:cs="Arial"/>
                <w:color w:val="auto"/>
                <w:szCs w:val="21"/>
                <w:highlight w:val="none"/>
              </w:rPr>
              <w:t>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4</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交货</w:t>
            </w:r>
            <w:r>
              <w:rPr>
                <w:rFonts w:hint="eastAsia" w:ascii="Arial" w:hAnsi="Arial" w:cs="Arial"/>
                <w:color w:val="auto"/>
                <w:szCs w:val="21"/>
                <w:highlight w:val="none"/>
              </w:rPr>
              <w:t>期</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lang w:eastAsia="zh-CN"/>
              </w:rPr>
              <w:t>自签订合同之日起90个工作日内全部货物交货完毕并完成安装调试。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5</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交货地点</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color w:val="auto"/>
                <w:kern w:val="0"/>
                <w:szCs w:val="21"/>
                <w:highlight w:val="none"/>
              </w:rPr>
            </w:pPr>
            <w:r>
              <w:rPr>
                <w:rFonts w:hint="eastAsia" w:ascii="Arial" w:hAnsi="Arial" w:cs="Arial"/>
                <w:color w:val="auto"/>
                <w:kern w:val="0"/>
                <w:szCs w:val="21"/>
                <w:highlight w:val="none"/>
              </w:rPr>
              <w:t>百色市采购人指定地点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6</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Cs w:val="21"/>
                <w:highlight w:val="none"/>
              </w:rPr>
            </w:pPr>
            <w:r>
              <w:rPr>
                <w:color w:val="auto"/>
                <w:szCs w:val="21"/>
                <w:highlight w:val="none"/>
              </w:rPr>
              <w:t>验收标准</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1．检查供货范围或服务范围</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sym w:font="Wingdings 2" w:char="F052"/>
            </w:r>
            <w:r>
              <w:rPr>
                <w:rFonts w:ascii="Arial" w:hAnsi="Arial" w:cs="Arial"/>
                <w:color w:val="auto"/>
                <w:kern w:val="0"/>
                <w:szCs w:val="21"/>
                <w:highlight w:val="none"/>
              </w:rPr>
              <w:t>货物类：产品到达现场后，成交供应商应在采购人单位人员在场情况下当面开箱，共同清点、检查外观，作出开箱记录，双方签字确认。成交供应商应保证货物到达采购人所在地完好无损，如有缺漏、损坏，由成交供应商负责调换、补齐或赔偿。</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sym w:font="Wingdings 2" w:char="F0A3"/>
            </w:r>
            <w:r>
              <w:rPr>
                <w:rFonts w:ascii="Arial" w:hAnsi="Arial" w:cs="Arial"/>
                <w:color w:val="auto"/>
                <w:kern w:val="0"/>
                <w:szCs w:val="21"/>
                <w:highlight w:val="none"/>
              </w:rPr>
              <w:t>服务类：根据谈判文件检查服务内容是否满足要求。</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2．成交供应商应提供完备的技术或服务资料、装箱单和合格证等，并派遣专业人员进行现场安装调试。验收合格条件如下：</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2.1货物或服务技术参数与</w:t>
            </w:r>
            <w:r>
              <w:rPr>
                <w:rFonts w:hint="eastAsia" w:ascii="Arial" w:hAnsi="Arial" w:cs="Arial"/>
                <w:color w:val="auto"/>
                <w:kern w:val="0"/>
                <w:szCs w:val="21"/>
                <w:highlight w:val="none"/>
              </w:rPr>
              <w:t>响应文件中响应表或证明材料</w:t>
            </w:r>
            <w:r>
              <w:rPr>
                <w:rFonts w:ascii="Arial" w:hAnsi="Arial" w:cs="Arial"/>
                <w:color w:val="auto"/>
                <w:kern w:val="0"/>
                <w:szCs w:val="21"/>
                <w:highlight w:val="none"/>
              </w:rPr>
              <w:t>一致，性能或指标达到规定的标准。</w:t>
            </w:r>
            <w:r>
              <w:rPr>
                <w:rFonts w:hint="eastAsia" w:ascii="Arial" w:hAnsi="Arial" w:cs="Arial"/>
                <w:color w:val="auto"/>
                <w:kern w:val="0"/>
                <w:szCs w:val="21"/>
                <w:highlight w:val="none"/>
              </w:rPr>
              <w:t>否则，以实际货物或服务技术参数与响应文件响应表参数或证明材料比较，按如下情况处理：</w:t>
            </w:r>
          </w:p>
          <w:p>
            <w:pPr>
              <w:spacing w:line="300" w:lineRule="exact"/>
              <w:jc w:val="left"/>
              <w:rPr>
                <w:rFonts w:ascii="Arial" w:hAnsi="Arial" w:cs="Arial"/>
                <w:color w:val="auto"/>
                <w:kern w:val="0"/>
                <w:szCs w:val="21"/>
                <w:highlight w:val="none"/>
              </w:rPr>
            </w:pPr>
            <w:r>
              <w:rPr>
                <w:rFonts w:hint="eastAsia" w:ascii="Arial" w:hAnsi="Arial" w:cs="Arial"/>
                <w:color w:val="auto"/>
                <w:kern w:val="0"/>
                <w:szCs w:val="21"/>
                <w:highlight w:val="none"/>
              </w:rPr>
              <w:t>（1）供应商响应文件响应表或证明材料中满足或优于的技术参数，在验收时实际不满足技术参数要求的，视为供货商违约，采购人有权终止合同拒收货物，并追究供应商责任，同时报财政部门备案。</w:t>
            </w:r>
          </w:p>
          <w:p>
            <w:pPr>
              <w:spacing w:line="300" w:lineRule="exact"/>
              <w:jc w:val="left"/>
              <w:rPr>
                <w:rFonts w:ascii="Arial" w:hAnsi="Arial" w:cs="Arial"/>
                <w:color w:val="auto"/>
                <w:kern w:val="0"/>
                <w:szCs w:val="21"/>
                <w:highlight w:val="none"/>
              </w:rPr>
            </w:pPr>
            <w:r>
              <w:rPr>
                <w:rFonts w:hint="eastAsia" w:ascii="Arial" w:hAnsi="Arial" w:cs="Arial"/>
                <w:color w:val="auto"/>
                <w:kern w:val="0"/>
                <w:szCs w:val="21"/>
                <w:highlight w:val="none"/>
              </w:rPr>
              <w:t>（2）供应商响应文件响应表或证明材料中优于的技术参数，在验收时实际仅满足并未优于技术参数要求的，视为供货商违约，采购人有权终止合同拒收货物，并追究供应商责任，同时报财政部门备案。</w:t>
            </w:r>
          </w:p>
          <w:p>
            <w:pPr>
              <w:spacing w:line="300" w:lineRule="exact"/>
              <w:jc w:val="left"/>
              <w:rPr>
                <w:rFonts w:ascii="Arial" w:hAnsi="Arial" w:cs="Arial"/>
                <w:color w:val="auto"/>
                <w:kern w:val="0"/>
                <w:szCs w:val="21"/>
                <w:highlight w:val="none"/>
              </w:rPr>
            </w:pPr>
            <w:r>
              <w:rPr>
                <w:rFonts w:hint="eastAsia" w:ascii="Arial" w:hAnsi="Arial" w:cs="Arial"/>
                <w:color w:val="auto"/>
                <w:kern w:val="0"/>
                <w:szCs w:val="21"/>
                <w:highlight w:val="none"/>
              </w:rPr>
              <w:t xml:space="preserve">（3）供应商响应文件响应表或证明材料中不满足的技术参数，在验收时实际满足技术参数的要求，以满足技术参数的要求验收。 </w:t>
            </w:r>
          </w:p>
          <w:p>
            <w:pPr>
              <w:spacing w:line="300" w:lineRule="exact"/>
              <w:jc w:val="left"/>
              <w:rPr>
                <w:rFonts w:ascii="Arial" w:hAnsi="Arial" w:cs="Arial"/>
                <w:color w:val="auto"/>
                <w:kern w:val="0"/>
                <w:szCs w:val="21"/>
                <w:highlight w:val="none"/>
              </w:rPr>
            </w:pPr>
            <w:r>
              <w:rPr>
                <w:rFonts w:hint="eastAsia" w:ascii="Arial" w:hAnsi="Arial" w:cs="Arial"/>
                <w:color w:val="auto"/>
                <w:kern w:val="0"/>
                <w:szCs w:val="21"/>
                <w:highlight w:val="none"/>
              </w:rPr>
              <w:t>（</w:t>
            </w:r>
            <w:r>
              <w:rPr>
                <w:rFonts w:ascii="Arial" w:hAnsi="Arial" w:cs="Arial"/>
                <w:color w:val="auto"/>
                <w:kern w:val="0"/>
                <w:szCs w:val="21"/>
                <w:highlight w:val="none"/>
              </w:rPr>
              <w:t>4</w:t>
            </w:r>
            <w:r>
              <w:rPr>
                <w:rFonts w:hint="eastAsia" w:ascii="Arial" w:hAnsi="Arial" w:cs="Arial"/>
                <w:color w:val="auto"/>
                <w:kern w:val="0"/>
                <w:szCs w:val="21"/>
                <w:highlight w:val="none"/>
              </w:rPr>
              <w:t>）供应商响应文件响应表或证明材料中满足的技术参数，在验收时实际优于技术参数的要求，以满足技术参数的要求验收。</w:t>
            </w:r>
          </w:p>
          <w:p>
            <w:pPr>
              <w:spacing w:line="300" w:lineRule="exact"/>
              <w:jc w:val="left"/>
              <w:rPr>
                <w:rFonts w:ascii="Arial" w:hAnsi="Arial" w:cs="Arial"/>
                <w:color w:val="auto"/>
                <w:kern w:val="0"/>
                <w:szCs w:val="21"/>
                <w:highlight w:val="none"/>
              </w:rPr>
            </w:pPr>
            <w:r>
              <w:rPr>
                <w:rFonts w:hint="eastAsia" w:ascii="Arial" w:hAnsi="Arial" w:cs="Arial"/>
                <w:color w:val="auto"/>
                <w:kern w:val="0"/>
                <w:szCs w:val="21"/>
                <w:highlight w:val="none"/>
              </w:rPr>
              <w:t>（5）供应商响应文件响应表或证明材料中优于的技术参数，在验收时实际也优于技术参数的要求，但没有达到响应表或证明材料中优于的程度，由采购人与供应商协商按是否满足要求验收。</w:t>
            </w:r>
          </w:p>
          <w:p>
            <w:pPr>
              <w:spacing w:line="300" w:lineRule="exact"/>
              <w:jc w:val="left"/>
              <w:rPr>
                <w:rFonts w:ascii="Arial" w:hAnsi="Arial" w:cs="Arial"/>
                <w:color w:val="auto"/>
                <w:kern w:val="0"/>
                <w:szCs w:val="21"/>
                <w:highlight w:val="none"/>
              </w:rPr>
            </w:pPr>
            <w:r>
              <w:rPr>
                <w:rFonts w:hint="eastAsia" w:ascii="Arial" w:hAnsi="Arial" w:cs="Arial"/>
                <w:color w:val="auto"/>
                <w:kern w:val="0"/>
                <w:szCs w:val="21"/>
                <w:highlight w:val="none"/>
              </w:rPr>
              <w:t>（</w:t>
            </w:r>
            <w:r>
              <w:rPr>
                <w:rFonts w:ascii="Arial" w:hAnsi="Arial" w:cs="Arial"/>
                <w:color w:val="auto"/>
                <w:kern w:val="0"/>
                <w:szCs w:val="21"/>
                <w:highlight w:val="none"/>
              </w:rPr>
              <w:t>6</w:t>
            </w:r>
            <w:r>
              <w:rPr>
                <w:rFonts w:hint="eastAsia" w:ascii="Arial" w:hAnsi="Arial" w:cs="Arial"/>
                <w:color w:val="auto"/>
                <w:kern w:val="0"/>
                <w:szCs w:val="21"/>
                <w:highlight w:val="none"/>
              </w:rPr>
              <w:t>）实际货物与响应货物型号不一致的，验收时不论实际是优于还是满足技术参数的要求，采购人均有权终止合同拒收货物。如影响货物或服务的使用、质量、档次及采购人需求的，还可视为供货商违约，追究供应商责任，同时报财政部门备案。</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2.2技术或资料、装箱单、合格证等资料齐全。</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2.3在测试或试运行期间所出现的问题得到解决，并运行或工作正常。</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2.4在规定时间内完成交货及验收，并经采购人确认。</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3．产品或服务在安装调试并试运行符合要求后，才作为最终验收。</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4．成交供应商提供的货物或服务未达到谈判文件规定要求，且对采购人造成损失的，由成交供应商承担一切责任，并赔偿所造成的损失。</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5．采购人需要制造商对成交供应商交付的产品或服务（包括质量、参数等）进行确认的，制造商应予以配合并出具书面意见，相关配合事项由</w:t>
            </w:r>
            <w:r>
              <w:rPr>
                <w:rFonts w:hint="eastAsia" w:ascii="Arial" w:hAnsi="Arial" w:cs="Arial"/>
                <w:color w:val="auto"/>
                <w:kern w:val="0"/>
                <w:szCs w:val="21"/>
                <w:highlight w:val="none"/>
              </w:rPr>
              <w:t>成交</w:t>
            </w:r>
            <w:r>
              <w:rPr>
                <w:rFonts w:ascii="Arial" w:hAnsi="Arial" w:cs="Arial"/>
                <w:color w:val="auto"/>
                <w:kern w:val="0"/>
                <w:szCs w:val="21"/>
                <w:highlight w:val="none"/>
              </w:rPr>
              <w:t>供应商与制造商协调。</w:t>
            </w:r>
          </w:p>
          <w:p>
            <w:pPr>
              <w:spacing w:line="300" w:lineRule="exact"/>
              <w:jc w:val="left"/>
              <w:rPr>
                <w:color w:val="auto"/>
                <w:szCs w:val="21"/>
                <w:highlight w:val="none"/>
              </w:rPr>
            </w:pPr>
            <w:r>
              <w:rPr>
                <w:rFonts w:ascii="Arial" w:hAnsi="Arial" w:cs="Arial"/>
                <w:color w:val="auto"/>
                <w:kern w:val="0"/>
                <w:szCs w:val="21"/>
                <w:highlight w:val="none"/>
              </w:rPr>
              <w:t>6．产品包装材料归采购人所有。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rFonts w:hint="eastAsia"/>
                <w:color w:val="auto"/>
                <w:szCs w:val="21"/>
                <w:highlight w:val="none"/>
              </w:rPr>
              <w:t>8</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jc w:val="center"/>
              <w:rPr>
                <w:color w:val="auto"/>
                <w:kern w:val="0"/>
                <w:szCs w:val="21"/>
                <w:highlight w:val="none"/>
                <w:shd w:val="pct10" w:color="auto" w:fill="FFFFFF"/>
              </w:rPr>
            </w:pPr>
            <w:r>
              <w:rPr>
                <w:color w:val="auto"/>
                <w:szCs w:val="21"/>
                <w:highlight w:val="none"/>
              </w:rPr>
              <w:t>服务标准、期限、效率</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1．成交供应商在质量保证期内应当为采购人提供以下技术支持和服务：</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1.1电话咨询</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成交供应商应当为采购人提供技术援助电话，解答采购人在使用中遇到的问题，及时为采购人提出解决问题的建议。</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1.2现场响应</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采购人遇到使用或技术问题，电话咨询不能解决的，</w:t>
            </w:r>
            <w:r>
              <w:rPr>
                <w:rFonts w:hint="eastAsia" w:ascii="Arial" w:hAnsi="Arial" w:cs="Arial"/>
                <w:color w:val="auto"/>
                <w:kern w:val="0"/>
                <w:szCs w:val="21"/>
                <w:highlight w:val="none"/>
              </w:rPr>
              <w:t>成交供应商</w:t>
            </w:r>
            <w:r>
              <w:rPr>
                <w:rFonts w:ascii="Arial" w:hAnsi="Arial" w:cs="Arial"/>
                <w:color w:val="auto"/>
                <w:kern w:val="0"/>
                <w:szCs w:val="21"/>
                <w:highlight w:val="none"/>
              </w:rPr>
              <w:t>应在2小时内到达现场进行处理，到达现场后2小时内排除故障，恢复正常使用。</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1.3技术升级</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在质保期内，如果</w:t>
            </w:r>
            <w:r>
              <w:rPr>
                <w:rFonts w:hint="eastAsia" w:ascii="Arial" w:hAnsi="Arial" w:cs="Arial"/>
                <w:color w:val="auto"/>
                <w:kern w:val="0"/>
                <w:szCs w:val="21"/>
                <w:highlight w:val="none"/>
              </w:rPr>
              <w:t>成交供应商</w:t>
            </w:r>
            <w:r>
              <w:rPr>
                <w:rFonts w:ascii="Arial" w:hAnsi="Arial" w:cs="Arial"/>
                <w:color w:val="auto"/>
                <w:kern w:val="0"/>
                <w:szCs w:val="21"/>
                <w:highlight w:val="none"/>
              </w:rPr>
              <w:t>的产品或服务升级，成交供应商应及时通知采购人，如采购人有相应要求，</w:t>
            </w:r>
            <w:r>
              <w:rPr>
                <w:rFonts w:hint="eastAsia" w:ascii="Arial" w:hAnsi="Arial" w:cs="Arial"/>
                <w:color w:val="auto"/>
                <w:kern w:val="0"/>
                <w:szCs w:val="21"/>
                <w:highlight w:val="none"/>
              </w:rPr>
              <w:t>成交供应商</w:t>
            </w:r>
            <w:r>
              <w:rPr>
                <w:rFonts w:ascii="Arial" w:hAnsi="Arial" w:cs="Arial"/>
                <w:color w:val="auto"/>
                <w:kern w:val="0"/>
                <w:szCs w:val="21"/>
                <w:highlight w:val="none"/>
              </w:rPr>
              <w:t>应对采购人购买的产品或服务进行升级。</w:t>
            </w:r>
          </w:p>
          <w:p>
            <w:pPr>
              <w:spacing w:line="300" w:lineRule="exact"/>
              <w:rPr>
                <w:rFonts w:ascii="Arial" w:hAnsi="Arial" w:cs="Arial"/>
                <w:color w:val="auto"/>
                <w:kern w:val="0"/>
                <w:szCs w:val="21"/>
                <w:highlight w:val="none"/>
              </w:rPr>
            </w:pPr>
            <w:r>
              <w:rPr>
                <w:rFonts w:ascii="Arial" w:hAnsi="Arial" w:cs="Arial"/>
                <w:color w:val="auto"/>
                <w:kern w:val="0"/>
                <w:szCs w:val="21"/>
                <w:highlight w:val="none"/>
              </w:rPr>
              <w:t>1.</w:t>
            </w:r>
            <w:r>
              <w:rPr>
                <w:rFonts w:hint="eastAsia" w:ascii="Arial" w:hAnsi="Arial" w:cs="Arial"/>
                <w:color w:val="auto"/>
                <w:kern w:val="0"/>
                <w:szCs w:val="21"/>
                <w:highlight w:val="none"/>
              </w:rPr>
              <w:t>4</w:t>
            </w:r>
            <w:r>
              <w:rPr>
                <w:rFonts w:ascii="Arial" w:hAnsi="Arial" w:cs="Arial"/>
                <w:color w:val="auto"/>
                <w:kern w:val="0"/>
                <w:szCs w:val="21"/>
                <w:highlight w:val="none"/>
              </w:rPr>
              <w:t>质量保证期内的</w:t>
            </w:r>
            <w:r>
              <w:rPr>
                <w:rFonts w:hint="eastAsia" w:ascii="Arial" w:hAnsi="Arial" w:cs="Arial"/>
                <w:color w:val="auto"/>
                <w:kern w:val="0"/>
                <w:szCs w:val="21"/>
                <w:highlight w:val="none"/>
              </w:rPr>
              <w:t>费用</w:t>
            </w:r>
          </w:p>
          <w:p>
            <w:pPr>
              <w:spacing w:line="300" w:lineRule="exact"/>
              <w:jc w:val="left"/>
              <w:rPr>
                <w:rFonts w:ascii="Arial" w:hAnsi="Arial" w:cs="Arial"/>
                <w:color w:val="auto"/>
                <w:kern w:val="0"/>
                <w:szCs w:val="21"/>
                <w:highlight w:val="none"/>
              </w:rPr>
            </w:pPr>
            <w:r>
              <w:rPr>
                <w:rFonts w:ascii="Arial" w:hAnsi="Arial" w:cs="Arial"/>
                <w:color w:val="auto"/>
                <w:kern w:val="0"/>
                <w:szCs w:val="21"/>
                <w:highlight w:val="none"/>
              </w:rPr>
              <w:t>质量保证期内供应商为采购人所提供的</w:t>
            </w:r>
            <w:r>
              <w:rPr>
                <w:rFonts w:hint="eastAsia" w:ascii="Arial" w:hAnsi="Arial" w:cs="Arial"/>
                <w:color w:val="auto"/>
                <w:kern w:val="0"/>
                <w:szCs w:val="21"/>
                <w:highlight w:val="none"/>
              </w:rPr>
              <w:t>所有技术支持和</w:t>
            </w:r>
            <w:r>
              <w:rPr>
                <w:rFonts w:ascii="Arial" w:hAnsi="Arial" w:cs="Arial"/>
                <w:color w:val="auto"/>
                <w:kern w:val="0"/>
                <w:szCs w:val="21"/>
                <w:highlight w:val="none"/>
              </w:rPr>
              <w:t>服务</w:t>
            </w:r>
            <w:r>
              <w:rPr>
                <w:rFonts w:hint="eastAsia" w:ascii="Arial" w:hAnsi="Arial" w:cs="Arial"/>
                <w:color w:val="auto"/>
                <w:kern w:val="0"/>
                <w:szCs w:val="21"/>
                <w:highlight w:val="none"/>
              </w:rPr>
              <w:t>费用以及</w:t>
            </w:r>
            <w:r>
              <w:rPr>
                <w:rFonts w:ascii="Arial" w:hAnsi="Arial" w:cs="Arial"/>
                <w:color w:val="auto"/>
                <w:kern w:val="0"/>
                <w:szCs w:val="21"/>
                <w:highlight w:val="none"/>
              </w:rPr>
              <w:t>上门维修、更换零部件费用</w:t>
            </w:r>
            <w:r>
              <w:rPr>
                <w:rFonts w:hint="eastAsia" w:ascii="Arial" w:hAnsi="Arial" w:cs="Arial"/>
                <w:color w:val="auto"/>
                <w:kern w:val="0"/>
                <w:szCs w:val="21"/>
                <w:highlight w:val="none"/>
              </w:rPr>
              <w:t>均包含在响应报价中，</w:t>
            </w:r>
            <w:r>
              <w:rPr>
                <w:rFonts w:ascii="Arial" w:hAnsi="Arial" w:cs="Arial"/>
                <w:color w:val="auto"/>
                <w:kern w:val="0"/>
                <w:szCs w:val="21"/>
                <w:highlight w:val="none"/>
              </w:rPr>
              <w:t>采购人不再另行支付</w:t>
            </w:r>
            <w:r>
              <w:rPr>
                <w:rFonts w:hint="eastAsia" w:ascii="Arial" w:hAnsi="Arial" w:cs="Arial"/>
                <w:color w:val="auto"/>
                <w:kern w:val="0"/>
                <w:szCs w:val="21"/>
                <w:highlight w:val="none"/>
              </w:rPr>
              <w:t>。</w:t>
            </w:r>
          </w:p>
          <w:p>
            <w:pPr>
              <w:spacing w:line="300" w:lineRule="exact"/>
              <w:rPr>
                <w:rFonts w:ascii="Arial" w:hAnsi="Arial" w:cs="Arial"/>
                <w:color w:val="auto"/>
                <w:kern w:val="0"/>
                <w:szCs w:val="21"/>
                <w:highlight w:val="none"/>
              </w:rPr>
            </w:pPr>
            <w:r>
              <w:rPr>
                <w:rFonts w:ascii="Arial" w:hAnsi="Arial" w:cs="Arial"/>
                <w:color w:val="auto"/>
                <w:kern w:val="0"/>
                <w:szCs w:val="21"/>
                <w:highlight w:val="none"/>
              </w:rPr>
              <w:t>2．质保期</w:t>
            </w:r>
            <w:r>
              <w:rPr>
                <w:rFonts w:hint="eastAsia" w:ascii="Arial" w:hAnsi="Arial" w:cs="Arial"/>
                <w:color w:val="auto"/>
                <w:kern w:val="0"/>
                <w:szCs w:val="21"/>
                <w:highlight w:val="none"/>
              </w:rPr>
              <w:t>过后</w:t>
            </w:r>
            <w:r>
              <w:rPr>
                <w:rFonts w:ascii="Arial" w:hAnsi="Arial" w:cs="Arial"/>
                <w:color w:val="auto"/>
                <w:kern w:val="0"/>
                <w:szCs w:val="21"/>
                <w:highlight w:val="none"/>
              </w:rPr>
              <w:t>的服务要求</w:t>
            </w:r>
          </w:p>
          <w:p>
            <w:pPr>
              <w:spacing w:line="300" w:lineRule="exact"/>
              <w:rPr>
                <w:color w:val="auto"/>
                <w:szCs w:val="21"/>
                <w:highlight w:val="none"/>
              </w:rPr>
            </w:pPr>
            <w:r>
              <w:rPr>
                <w:rFonts w:ascii="Arial" w:hAnsi="Arial" w:cs="Arial"/>
                <w:color w:val="auto"/>
                <w:kern w:val="0"/>
                <w:szCs w:val="21"/>
                <w:highlight w:val="none"/>
              </w:rPr>
              <w:t>电话咨询</w:t>
            </w:r>
            <w:r>
              <w:rPr>
                <w:rFonts w:hint="eastAsia" w:ascii="Arial" w:hAnsi="Arial" w:cs="Arial"/>
                <w:color w:val="auto"/>
                <w:kern w:val="0"/>
                <w:szCs w:val="21"/>
                <w:highlight w:val="none"/>
              </w:rPr>
              <w:t>：</w:t>
            </w:r>
            <w:r>
              <w:rPr>
                <w:rFonts w:ascii="Arial" w:hAnsi="Arial" w:cs="Arial"/>
                <w:color w:val="auto"/>
                <w:kern w:val="0"/>
                <w:szCs w:val="21"/>
                <w:highlight w:val="none"/>
              </w:rPr>
              <w:t>产品质量保证期过后</w:t>
            </w:r>
            <w:r>
              <w:rPr>
                <w:rFonts w:hint="eastAsia" w:ascii="Arial" w:hAnsi="Arial" w:cs="Arial"/>
                <w:color w:val="auto"/>
                <w:kern w:val="0"/>
                <w:szCs w:val="21"/>
                <w:highlight w:val="none"/>
              </w:rPr>
              <w:t>，</w:t>
            </w:r>
            <w:r>
              <w:rPr>
                <w:rFonts w:ascii="Arial" w:hAnsi="Arial" w:cs="Arial"/>
                <w:color w:val="auto"/>
                <w:kern w:val="0"/>
                <w:szCs w:val="21"/>
                <w:highlight w:val="none"/>
              </w:rPr>
              <w:t>成交供应商应当为采购人提供技术援助电话，解答采购人在使用中遇到的问题，及时为采购人提出解决问题的建议</w:t>
            </w:r>
            <w:r>
              <w:rPr>
                <w:rFonts w:hint="eastAsia" w:ascii="Arial" w:hAnsi="Arial" w:cs="Arial"/>
                <w:color w:val="auto"/>
                <w:kern w:val="0"/>
                <w:szCs w:val="21"/>
                <w:highlight w:val="none"/>
              </w:rPr>
              <w:t>，</w:t>
            </w:r>
            <w:r>
              <w:rPr>
                <w:rFonts w:ascii="Arial" w:hAnsi="Arial" w:cs="Arial"/>
                <w:color w:val="auto"/>
                <w:kern w:val="0"/>
                <w:szCs w:val="21"/>
                <w:highlight w:val="none"/>
              </w:rPr>
              <w:t>并不予收费。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9</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培训</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color w:val="auto"/>
                <w:szCs w:val="21"/>
                <w:highlight w:val="none"/>
              </w:rPr>
            </w:pPr>
            <w:r>
              <w:rPr>
                <w:rFonts w:hint="eastAsia" w:ascii="Arial" w:hAnsi="Arial" w:cs="Arial"/>
                <w:color w:val="auto"/>
                <w:szCs w:val="21"/>
                <w:highlight w:val="none"/>
              </w:rPr>
              <w:t>供应商对其提供产品或服务的使用和操作应尽培训义务。供应商应提供对采购人的基本培训，使采购人使用人员熟练掌握所培训内容，熟练掌握全部功能，培训的相关费用包括在响应报价中，采购人不再另行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10</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知识产权</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color w:val="auto"/>
                <w:szCs w:val="21"/>
                <w:highlight w:val="none"/>
              </w:rPr>
            </w:pPr>
            <w:r>
              <w:rPr>
                <w:rFonts w:ascii="Arial" w:hAnsi="Arial" w:cs="Arial"/>
                <w:color w:val="auto"/>
                <w:szCs w:val="21"/>
                <w:highlight w:val="none"/>
              </w:rPr>
              <w:t>采购人在中华人民共和国境内使用供应商提供的产品及服务时免受第三方提出的侵犯其专利权或其它知识产权的起诉。如果第三方提出侵权指控，成交供应商应承担由此而引起的一切法律责任和费用。供应商在响应文件中提供承诺或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11</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kern w:val="0"/>
                <w:szCs w:val="21"/>
                <w:highlight w:val="none"/>
                <w:shd w:val="pct10" w:color="auto" w:fill="FFFFFF"/>
              </w:rPr>
            </w:pPr>
            <w:r>
              <w:rPr>
                <w:rFonts w:ascii="Arial" w:hAnsi="Arial" w:cs="Arial"/>
                <w:color w:val="auto"/>
                <w:szCs w:val="21"/>
                <w:highlight w:val="none"/>
              </w:rPr>
              <w:t>付款方式、时间及条件</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Arial" w:hAnsi="Arial" w:cs="Arial"/>
                <w:color w:val="auto"/>
                <w:kern w:val="0"/>
                <w:szCs w:val="21"/>
                <w:highlight w:val="none"/>
              </w:rPr>
            </w:pPr>
            <w:r>
              <w:rPr>
                <w:rFonts w:hint="eastAsia" w:ascii="Arial" w:hAnsi="Arial" w:cs="Arial"/>
                <w:color w:val="auto"/>
                <w:kern w:val="0"/>
                <w:szCs w:val="21"/>
                <w:highlight w:val="none"/>
              </w:rPr>
              <w:t>1.合同签订5个工作日内，供应商以银行转账、汇款方式向采购人支付100%合同款作为预付款担保金。采购人收到预付款担保金后在10个工作日内向供应商支付100%合同款作为预付款。</w:t>
            </w:r>
          </w:p>
          <w:p>
            <w:pPr>
              <w:spacing w:line="300" w:lineRule="exact"/>
              <w:rPr>
                <w:rFonts w:ascii="Arial" w:hAnsi="Arial" w:cs="Arial"/>
                <w:color w:val="auto"/>
                <w:kern w:val="0"/>
                <w:szCs w:val="21"/>
                <w:highlight w:val="none"/>
              </w:rPr>
            </w:pPr>
            <w:r>
              <w:rPr>
                <w:rFonts w:hint="eastAsia" w:ascii="Arial" w:hAnsi="Arial" w:cs="Arial"/>
                <w:color w:val="auto"/>
                <w:kern w:val="0"/>
                <w:szCs w:val="21"/>
                <w:highlight w:val="none"/>
              </w:rPr>
              <w:t xml:space="preserve">2.供应商按采购合同交货并验收合格后十个工作日内，采购人凭供应商提交的退回预付款担保金申请书、全额财务发票（100%合同款发票）、验收单，向供应商退返预付款担保金。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color w:val="auto"/>
                <w:szCs w:val="21"/>
                <w:highlight w:val="none"/>
              </w:rPr>
            </w:pPr>
            <w:r>
              <w:rPr>
                <w:color w:val="auto"/>
                <w:szCs w:val="21"/>
                <w:highlight w:val="none"/>
              </w:rPr>
              <w:t>1</w:t>
            </w:r>
            <w:r>
              <w:rPr>
                <w:rFonts w:hint="eastAsia"/>
                <w:color w:val="auto"/>
                <w:szCs w:val="21"/>
                <w:highlight w:val="none"/>
              </w:rPr>
              <w:t>2</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履约保证金</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u w:val="single"/>
              </w:rPr>
            </w:pPr>
            <w:r>
              <w:rPr>
                <w:color w:val="auto"/>
                <w:szCs w:val="21"/>
                <w:highlight w:val="none"/>
              </w:rPr>
              <w:t>本项目履约保证金</w:t>
            </w:r>
            <w:r>
              <w:rPr>
                <w:color w:val="auto"/>
                <w:szCs w:val="21"/>
                <w:highlight w:val="none"/>
              </w:rPr>
              <w:sym w:font="Wingdings 2" w:char="F052"/>
            </w:r>
            <w:r>
              <w:rPr>
                <w:color w:val="auto"/>
                <w:szCs w:val="21"/>
                <w:highlight w:val="none"/>
              </w:rPr>
              <w:t>无；</w:t>
            </w:r>
            <w:r>
              <w:rPr>
                <w:color w:val="auto"/>
                <w:szCs w:val="21"/>
                <w:highlight w:val="none"/>
              </w:rPr>
              <w:sym w:font="Wingdings 2" w:char="F0A3"/>
            </w:r>
            <w:r>
              <w:rPr>
                <w:color w:val="auto"/>
                <w:szCs w:val="21"/>
                <w:highlight w:val="none"/>
              </w:rPr>
              <w:t>有</w:t>
            </w:r>
            <w:r>
              <w:rPr>
                <w:rFonts w:hint="eastAsia"/>
                <w:color w:val="auto"/>
                <w:szCs w:val="21"/>
                <w:highlight w:val="none"/>
              </w:rPr>
              <w:t>，</w:t>
            </w:r>
            <w:r>
              <w:rPr>
                <w:color w:val="auto"/>
                <w:szCs w:val="21"/>
                <w:highlight w:val="none"/>
              </w:rPr>
              <w:t>履约保证金的金额：</w:t>
            </w:r>
            <w:r>
              <w:rPr>
                <w:rFonts w:hint="eastAsia"/>
                <w:color w:val="auto"/>
                <w:kern w:val="0"/>
                <w:szCs w:val="21"/>
                <w:highlight w:val="none"/>
                <w:u w:val="single"/>
              </w:rPr>
              <w:t xml:space="preserve"> </w:t>
            </w:r>
            <w:r>
              <w:rPr>
                <w:color w:val="auto"/>
                <w:kern w:val="0"/>
                <w:szCs w:val="21"/>
                <w:highlight w:val="none"/>
                <w:u w:val="single"/>
              </w:rPr>
              <w:t xml:space="preserve">    </w:t>
            </w:r>
            <w:r>
              <w:rPr>
                <w:rFonts w:hint="eastAsia"/>
                <w:color w:val="auto"/>
                <w:szCs w:val="21"/>
                <w:highlight w:val="none"/>
                <w:u w:val="single"/>
              </w:rPr>
              <w:t>/</w:t>
            </w:r>
            <w:r>
              <w:rPr>
                <w:color w:val="auto"/>
                <w:kern w:val="0"/>
                <w:szCs w:val="21"/>
                <w:highlight w:val="none"/>
                <w:u w:val="single"/>
              </w:rPr>
              <w:t xml:space="preserve">        </w:t>
            </w:r>
            <w:r>
              <w:rPr>
                <w:rFonts w:hint="eastAsia"/>
                <w:color w:val="auto"/>
                <w:szCs w:val="21"/>
                <w:highlight w:val="none"/>
              </w:rPr>
              <w:t>【备注：不超过合同金额的</w:t>
            </w:r>
            <w:r>
              <w:rPr>
                <w:color w:val="auto"/>
                <w:szCs w:val="21"/>
                <w:highlight w:val="none"/>
              </w:rPr>
              <w:t>5%</w:t>
            </w:r>
            <w:r>
              <w:rPr>
                <w:rFonts w:hint="eastAsia"/>
                <w:color w:val="auto"/>
                <w:szCs w:val="21"/>
                <w:highlight w:val="none"/>
              </w:rPr>
              <w:t>】；</w:t>
            </w:r>
          </w:p>
          <w:p>
            <w:pPr>
              <w:spacing w:line="300" w:lineRule="exact"/>
              <w:jc w:val="left"/>
              <w:rPr>
                <w:color w:val="auto"/>
                <w:szCs w:val="21"/>
                <w:highlight w:val="none"/>
              </w:rPr>
            </w:pPr>
            <w:r>
              <w:rPr>
                <w:color w:val="auto"/>
                <w:szCs w:val="21"/>
                <w:highlight w:val="none"/>
              </w:rPr>
              <w:t>履约保证金的形式：</w:t>
            </w:r>
            <w:r>
              <w:rPr>
                <w:rFonts w:hint="eastAsia"/>
                <w:color w:val="auto"/>
                <w:szCs w:val="21"/>
                <w:highlight w:val="none"/>
              </w:rPr>
              <w:t>供应商可以选择</w:t>
            </w:r>
            <w:r>
              <w:rPr>
                <w:color w:val="auto"/>
                <w:szCs w:val="21"/>
                <w:highlight w:val="none"/>
              </w:rPr>
              <w:t>电汇、转账</w:t>
            </w:r>
            <w:r>
              <w:rPr>
                <w:rFonts w:hint="eastAsia"/>
                <w:color w:val="auto"/>
                <w:szCs w:val="21"/>
                <w:highlight w:val="none"/>
              </w:rPr>
              <w:t>、</w:t>
            </w:r>
            <w:r>
              <w:rPr>
                <w:color w:val="auto"/>
                <w:szCs w:val="21"/>
                <w:highlight w:val="none"/>
              </w:rPr>
              <w:t>支票、汇票、本票、等形式缴纳或提交</w:t>
            </w:r>
            <w:r>
              <w:rPr>
                <w:rFonts w:hint="eastAsia"/>
                <w:color w:val="auto"/>
                <w:szCs w:val="21"/>
                <w:highlight w:val="none"/>
              </w:rPr>
              <w:t>。</w:t>
            </w:r>
          </w:p>
          <w:p>
            <w:pPr>
              <w:spacing w:line="300" w:lineRule="exact"/>
              <w:jc w:val="left"/>
              <w:rPr>
                <w:color w:val="auto"/>
                <w:szCs w:val="21"/>
                <w:highlight w:val="none"/>
              </w:rPr>
            </w:pPr>
            <w:r>
              <w:rPr>
                <w:color w:val="auto"/>
                <w:szCs w:val="21"/>
                <w:highlight w:val="none"/>
              </w:rPr>
              <w:t>保证金缴纳的账号信息</w:t>
            </w:r>
            <w:r>
              <w:rPr>
                <w:rFonts w:hint="eastAsia"/>
                <w:color w:val="auto"/>
                <w:szCs w:val="21"/>
                <w:highlight w:val="none"/>
              </w:rPr>
              <w:t>：/</w:t>
            </w:r>
          </w:p>
          <w:p>
            <w:pPr>
              <w:spacing w:line="300" w:lineRule="exact"/>
              <w:jc w:val="left"/>
              <w:rPr>
                <w:color w:val="auto"/>
                <w:szCs w:val="21"/>
                <w:highlight w:val="none"/>
              </w:rPr>
            </w:pPr>
            <w:r>
              <w:rPr>
                <w:color w:val="auto"/>
                <w:szCs w:val="21"/>
                <w:highlight w:val="none"/>
              </w:rPr>
              <w:t>开户名称：</w:t>
            </w:r>
            <w:r>
              <w:rPr>
                <w:rFonts w:hint="eastAsia"/>
                <w:color w:val="auto"/>
                <w:szCs w:val="21"/>
                <w:highlight w:val="none"/>
              </w:rPr>
              <w:t>/；</w:t>
            </w:r>
          </w:p>
          <w:p>
            <w:pPr>
              <w:spacing w:line="300" w:lineRule="exact"/>
              <w:jc w:val="left"/>
              <w:rPr>
                <w:color w:val="auto"/>
                <w:szCs w:val="21"/>
                <w:highlight w:val="none"/>
              </w:rPr>
            </w:pPr>
            <w:r>
              <w:rPr>
                <w:color w:val="auto"/>
                <w:szCs w:val="21"/>
                <w:highlight w:val="none"/>
              </w:rPr>
              <w:t>开户银行：</w:t>
            </w:r>
            <w:r>
              <w:rPr>
                <w:rFonts w:hint="eastAsia"/>
                <w:color w:val="auto"/>
                <w:szCs w:val="21"/>
                <w:highlight w:val="none"/>
              </w:rPr>
              <w:t>/；</w:t>
            </w:r>
          </w:p>
          <w:p>
            <w:pPr>
              <w:spacing w:line="300" w:lineRule="exact"/>
              <w:jc w:val="left"/>
              <w:rPr>
                <w:color w:val="auto"/>
                <w:szCs w:val="21"/>
                <w:highlight w:val="none"/>
              </w:rPr>
            </w:pPr>
            <w:r>
              <w:rPr>
                <w:color w:val="auto"/>
                <w:szCs w:val="21"/>
                <w:highlight w:val="none"/>
              </w:rPr>
              <w:t>银行账号：</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以上账户信息如若未提供，则由采购人及成交供应商在</w:t>
            </w:r>
            <w:r>
              <w:rPr>
                <w:color w:val="auto"/>
                <w:szCs w:val="21"/>
                <w:highlight w:val="none"/>
              </w:rPr>
              <w:t>合同签订前双方自行约定</w:t>
            </w:r>
            <w:r>
              <w:rPr>
                <w:rFonts w:hint="eastAsia"/>
                <w:color w:val="auto"/>
                <w:szCs w:val="21"/>
                <w:highlight w:val="none"/>
              </w:rPr>
              <w:t>。履约保证金退还方式及时间、条件、不予退还的规定按第五章合同主要条款格式第九条的规定执行。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186"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widowControl/>
              <w:spacing w:line="240" w:lineRule="exact"/>
              <w:jc w:val="left"/>
              <w:rPr>
                <w:rFonts w:ascii="Arial" w:hAnsi="Arial" w:cs="Arial"/>
                <w:color w:val="auto"/>
                <w:szCs w:val="21"/>
                <w:highlight w:val="none"/>
              </w:rPr>
            </w:pPr>
            <w:r>
              <w:rPr>
                <w:rFonts w:ascii="Arial" w:hAnsi="Arial" w:cs="Arial"/>
                <w:b/>
                <w:color w:val="auto"/>
                <w:kern w:val="0"/>
                <w:szCs w:val="21"/>
                <w:highlight w:val="none"/>
              </w:rPr>
              <w:t>五、本项目其他要求及说明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演示要求</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F052"/>
            </w:r>
            <w:r>
              <w:rPr>
                <w:color w:val="auto"/>
                <w:szCs w:val="21"/>
                <w:highlight w:val="none"/>
              </w:rPr>
              <w:t>无要求</w:t>
            </w:r>
          </w:p>
          <w:p>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有要求，</w:t>
            </w:r>
            <w:r>
              <w:rPr>
                <w:rFonts w:hint="eastAsia"/>
                <w:color w:val="auto"/>
                <w:szCs w:val="21"/>
                <w:highlight w:val="none"/>
              </w:rPr>
              <w:t>演示的内容：</w:t>
            </w:r>
            <w:r>
              <w:rPr>
                <w:rFonts w:hint="eastAsia"/>
                <w:color w:val="auto"/>
                <w:szCs w:val="21"/>
                <w:highlight w:val="none"/>
                <w:u w:val="single"/>
              </w:rPr>
              <w:t xml:space="preserve"> </w:t>
            </w:r>
            <w:r>
              <w:rPr>
                <w:color w:val="auto"/>
                <w:szCs w:val="21"/>
                <w:highlight w:val="none"/>
                <w:u w:val="single"/>
              </w:rPr>
              <w:t xml:space="preserve">                </w:t>
            </w:r>
          </w:p>
          <w:p>
            <w:pPr>
              <w:spacing w:line="300" w:lineRule="exact"/>
              <w:jc w:val="left"/>
              <w:rPr>
                <w:color w:val="auto"/>
                <w:szCs w:val="21"/>
                <w:highlight w:val="none"/>
              </w:rPr>
            </w:pPr>
            <w:r>
              <w:rPr>
                <w:rFonts w:hint="eastAsia"/>
                <w:color w:val="auto"/>
                <w:szCs w:val="21"/>
                <w:highlight w:val="none"/>
              </w:rPr>
              <w:t>供应商自行刻录需要演示的文件内容（格式为MP4或A</w:t>
            </w:r>
            <w:r>
              <w:rPr>
                <w:color w:val="auto"/>
                <w:szCs w:val="21"/>
                <w:highlight w:val="none"/>
              </w:rPr>
              <w:t>VI</w:t>
            </w:r>
            <w:r>
              <w:rPr>
                <w:rFonts w:hint="eastAsia"/>
                <w:color w:val="auto"/>
                <w:szCs w:val="21"/>
                <w:highlight w:val="none"/>
              </w:rPr>
              <w:t>，储存介质为U盘），单独密封在一个密封袋中，并在封口处加盖供应商公章或被授权人签字，封套标记“项目名称（项目编号）演示文件”字样，随响应文件一起在响应截止前邮寄至截标地点。供应商须自行承担演示文件逾期到达以及演示文件不能正常播放或演示不全可能导致响应被否决的后果。</w:t>
            </w:r>
          </w:p>
          <w:p>
            <w:pPr>
              <w:spacing w:line="300" w:lineRule="exact"/>
              <w:jc w:val="left"/>
              <w:rPr>
                <w:color w:val="auto"/>
                <w:szCs w:val="21"/>
                <w:highlight w:val="none"/>
              </w:rPr>
            </w:pPr>
            <w:r>
              <w:rPr>
                <w:color w:val="auto"/>
                <w:szCs w:val="21"/>
                <w:highlight w:val="none"/>
              </w:rPr>
              <w:sym w:font="Wingdings 2" w:char="F0A3"/>
            </w:r>
            <w:r>
              <w:rPr>
                <w:rFonts w:hint="eastAsia"/>
                <w:color w:val="auto"/>
                <w:szCs w:val="21"/>
                <w:highlight w:val="none"/>
              </w:rPr>
              <w:t>有要求，评审现场采用网络连线方式，供应商须自行准备演示文件及演示设备，按采购代理机构提前通知的方式进行演示。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2</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Arial" w:hAnsi="Arial" w:cs="Arial"/>
                <w:color w:val="auto"/>
                <w:szCs w:val="21"/>
                <w:highlight w:val="none"/>
              </w:rPr>
            </w:pPr>
            <w:r>
              <w:rPr>
                <w:rFonts w:ascii="Arial" w:hAnsi="Arial" w:cs="Arial"/>
                <w:color w:val="auto"/>
                <w:szCs w:val="21"/>
                <w:highlight w:val="none"/>
              </w:rPr>
              <w:t>样品要求</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F052"/>
            </w:r>
            <w:r>
              <w:rPr>
                <w:color w:val="auto"/>
                <w:szCs w:val="21"/>
                <w:highlight w:val="none"/>
              </w:rPr>
              <w:t xml:space="preserve">无要求 </w:t>
            </w:r>
          </w:p>
          <w:p>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有要求</w:t>
            </w:r>
            <w:r>
              <w:rPr>
                <w:rFonts w:hint="eastAsia"/>
                <w:color w:val="auto"/>
                <w:szCs w:val="21"/>
                <w:highlight w:val="none"/>
              </w:rPr>
              <w:t>，样品制作的标准和要求：</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样品检测机构的要求：</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检测内容：</w:t>
            </w:r>
            <w:r>
              <w:rPr>
                <w:rFonts w:hint="eastAsia"/>
                <w:color w:val="auto"/>
                <w:szCs w:val="21"/>
                <w:highlight w:val="none"/>
                <w:u w:val="single"/>
              </w:rPr>
              <w:t xml:space="preserve"> </w:t>
            </w:r>
            <w:r>
              <w:rPr>
                <w:color w:val="auto"/>
                <w:szCs w:val="21"/>
                <w:highlight w:val="none"/>
                <w:u w:val="single"/>
              </w:rPr>
              <w:t xml:space="preserve">                  </w:t>
            </w:r>
          </w:p>
          <w:p>
            <w:pPr>
              <w:spacing w:line="300" w:lineRule="exact"/>
              <w:jc w:val="left"/>
              <w:rPr>
                <w:color w:val="auto"/>
                <w:szCs w:val="21"/>
                <w:highlight w:val="none"/>
              </w:rPr>
            </w:pPr>
            <w:r>
              <w:rPr>
                <w:rFonts w:hint="eastAsia"/>
                <w:color w:val="auto"/>
                <w:szCs w:val="21"/>
                <w:highlight w:val="none"/>
              </w:rPr>
              <w:t>样品采用邮寄方式，供应商须将样品</w:t>
            </w:r>
            <w:r>
              <w:rPr>
                <w:rFonts w:hint="eastAsia"/>
                <w:color w:val="auto"/>
                <w:highlight w:val="none"/>
              </w:rPr>
              <w:t>附第六章“样品递交表”与响应文件</w:t>
            </w:r>
            <w:r>
              <w:rPr>
                <w:rFonts w:hint="eastAsia"/>
                <w:color w:val="auto"/>
                <w:szCs w:val="21"/>
                <w:highlight w:val="none"/>
              </w:rPr>
              <w:t>一同邮寄，供应商须自行考虑时间因素，确保样品在响应文件截止时间前到达，供应商须自行承担样品逾期到达或样品不符合谈判文件要求可能导致响应被否决的后果。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3</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本项目附件</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F052"/>
            </w:r>
            <w:r>
              <w:rPr>
                <w:color w:val="auto"/>
                <w:szCs w:val="21"/>
                <w:highlight w:val="none"/>
              </w:rPr>
              <w:t>无；</w:t>
            </w:r>
            <w:r>
              <w:rPr>
                <w:color w:val="auto"/>
                <w:szCs w:val="21"/>
                <w:highlight w:val="none"/>
              </w:rPr>
              <w:sym w:font="Wingdings 2" w:char="F0A3"/>
            </w:r>
            <w:r>
              <w:rPr>
                <w:color w:val="auto"/>
                <w:szCs w:val="21"/>
                <w:highlight w:val="none"/>
              </w:rPr>
              <w:t>有，详见</w:t>
            </w:r>
            <w:r>
              <w:rPr>
                <w:rFonts w:hint="eastAsia"/>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hint="eastAsia" w:ascii="Arial" w:hAnsi="Arial" w:cs="Arial"/>
                <w:color w:val="auto"/>
                <w:szCs w:val="21"/>
                <w:highlight w:val="none"/>
              </w:rPr>
              <w:t>4</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本项目图纸</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F052"/>
            </w:r>
            <w:r>
              <w:rPr>
                <w:color w:val="auto"/>
                <w:szCs w:val="21"/>
                <w:highlight w:val="none"/>
              </w:rPr>
              <w:t>无；</w:t>
            </w:r>
            <w:r>
              <w:rPr>
                <w:color w:val="auto"/>
                <w:szCs w:val="21"/>
                <w:highlight w:val="none"/>
              </w:rPr>
              <w:sym w:font="Wingdings 2" w:char="F0A3"/>
            </w:r>
            <w:r>
              <w:rPr>
                <w:color w:val="auto"/>
                <w:szCs w:val="21"/>
                <w:highlight w:val="none"/>
              </w:rPr>
              <w:t>有，详见</w:t>
            </w:r>
            <w:r>
              <w:rPr>
                <w:rFonts w:hint="eastAsia"/>
                <w:color w:val="auto"/>
                <w:szCs w:val="21"/>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trPr>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5</w:t>
            </w:r>
          </w:p>
        </w:tc>
        <w:tc>
          <w:tcPr>
            <w:tcW w:w="16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其他</w:t>
            </w:r>
          </w:p>
        </w:tc>
        <w:tc>
          <w:tcPr>
            <w:tcW w:w="767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szCs w:val="21"/>
                <w:highlight w:val="none"/>
              </w:rPr>
            </w:pPr>
            <w:r>
              <w:rPr>
                <w:rFonts w:ascii="Arial" w:hAnsi="Arial" w:cs="Arial"/>
                <w:color w:val="auto"/>
                <w:szCs w:val="21"/>
                <w:highlight w:val="none"/>
              </w:rPr>
              <w:t>（1）其他未尽事宜由供需双方在采购合同中详细约定。</w:t>
            </w:r>
          </w:p>
          <w:p>
            <w:pPr>
              <w:spacing w:line="300" w:lineRule="exact"/>
              <w:jc w:val="left"/>
              <w:rPr>
                <w:rFonts w:ascii="Arial" w:hAnsi="Arial" w:cs="Arial"/>
                <w:color w:val="auto"/>
                <w:szCs w:val="21"/>
                <w:highlight w:val="none"/>
              </w:rPr>
            </w:pPr>
            <w:r>
              <w:rPr>
                <w:rFonts w:ascii="Arial" w:hAnsi="Arial" w:cs="Arial"/>
                <w:color w:val="auto"/>
                <w:szCs w:val="21"/>
                <w:highlight w:val="none"/>
              </w:rPr>
              <w:t>（2）标注“▲”的条款或要求系指实质性条款或实质性要求，必须满足，如存在负偏离将导致响应被否决。</w:t>
            </w:r>
          </w:p>
        </w:tc>
      </w:tr>
    </w:tbl>
    <w:p>
      <w:pPr>
        <w:spacing w:line="380" w:lineRule="exact"/>
        <w:rPr>
          <w:rFonts w:ascii="Arial" w:hAnsi="Arial" w:eastAsia="楷体_GB2312" w:cs="Arial"/>
          <w:b/>
          <w:color w:val="auto"/>
          <w:szCs w:val="21"/>
          <w:highlight w:val="none"/>
        </w:rPr>
      </w:pPr>
    </w:p>
    <w:bookmarkEnd w:id="8"/>
    <w:bookmarkEnd w:id="9"/>
    <w:p>
      <w:pPr>
        <w:pStyle w:val="23"/>
        <w:snapToGrid w:val="0"/>
        <w:spacing w:before="120" w:after="120" w:line="320" w:lineRule="exact"/>
        <w:jc w:val="center"/>
        <w:rPr>
          <w:rFonts w:ascii="Arial" w:hAnsi="Arial" w:cs="Arial"/>
          <w:color w:val="auto"/>
          <w:sz w:val="32"/>
          <w:szCs w:val="32"/>
          <w:highlight w:val="none"/>
        </w:rPr>
        <w:sectPr>
          <w:footerReference r:id="rId9" w:type="first"/>
          <w:footerReference r:id="rId8" w:type="default"/>
          <w:pgSz w:w="11906" w:h="16838"/>
          <w:pgMar w:top="850" w:right="1133" w:bottom="850" w:left="1134" w:header="454" w:footer="454" w:gutter="0"/>
          <w:pgNumType w:start="1"/>
          <w:cols w:space="720" w:num="1"/>
          <w:titlePg/>
          <w:docGrid w:linePitch="312" w:charSpace="0"/>
        </w:sectPr>
      </w:pPr>
      <w:bookmarkStart w:id="10" w:name="_Toc489863686"/>
    </w:p>
    <w:p>
      <w:pPr>
        <w:pStyle w:val="23"/>
        <w:snapToGrid w:val="0"/>
        <w:spacing w:before="120" w:after="120" w:line="320" w:lineRule="exact"/>
        <w:jc w:val="center"/>
        <w:outlineLvl w:val="0"/>
        <w:rPr>
          <w:rFonts w:ascii="Arial" w:hAnsi="Arial" w:cs="Arial"/>
          <w:color w:val="auto"/>
          <w:sz w:val="32"/>
          <w:szCs w:val="32"/>
          <w:highlight w:val="none"/>
        </w:rPr>
      </w:pPr>
      <w:bookmarkStart w:id="11" w:name="_Toc20186"/>
      <w:r>
        <w:rPr>
          <w:rFonts w:ascii="Arial" w:hAnsi="Arial" w:cs="Arial"/>
          <w:color w:val="auto"/>
          <w:sz w:val="32"/>
          <w:szCs w:val="32"/>
          <w:highlight w:val="none"/>
        </w:rPr>
        <w:t>第三章  供应商须知</w:t>
      </w:r>
      <w:bookmarkEnd w:id="10"/>
      <w:bookmarkEnd w:id="11"/>
      <w:bookmarkStart w:id="12" w:name="_投标人须知前附表"/>
      <w:bookmarkEnd w:id="12"/>
    </w:p>
    <w:p>
      <w:pPr>
        <w:rPr>
          <w:rFonts w:ascii="Arial" w:hAnsi="Arial" w:cs="Arial"/>
          <w:color w:val="auto"/>
          <w:highlight w:val="none"/>
        </w:rPr>
      </w:pPr>
    </w:p>
    <w:tbl>
      <w:tblPr>
        <w:tblStyle w:val="41"/>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277"/>
        <w:gridCol w:w="7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条款号</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要点</w:t>
            </w:r>
          </w:p>
        </w:tc>
        <w:tc>
          <w:tcPr>
            <w:tcW w:w="7228" w:type="dxa"/>
            <w:tcBorders>
              <w:top w:val="single" w:color="auto" w:sz="4" w:space="0"/>
              <w:left w:val="single" w:color="auto" w:sz="4" w:space="0"/>
              <w:bottom w:val="single" w:color="auto" w:sz="4" w:space="0"/>
              <w:right w:val="single" w:color="auto" w:sz="4" w:space="0"/>
            </w:tcBorders>
            <w:vAlign w:val="center"/>
          </w:tcPr>
          <w:p>
            <w:pPr>
              <w:jc w:val="center"/>
              <w:rPr>
                <w:b/>
                <w:color w:val="auto"/>
                <w:szCs w:val="21"/>
                <w:highlight w:val="none"/>
              </w:rPr>
            </w:pPr>
            <w:r>
              <w:rPr>
                <w:b/>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1</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项目基本信息</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项目名称：</w:t>
            </w:r>
            <w:r>
              <w:rPr>
                <w:rFonts w:hint="eastAsia"/>
                <w:color w:val="auto"/>
                <w:kern w:val="0"/>
                <w:szCs w:val="21"/>
                <w:highlight w:val="none"/>
              </w:rPr>
              <w:t>百色分中心2024年第三季度发射机备品备件采购项目</w:t>
            </w:r>
          </w:p>
          <w:p>
            <w:pPr>
              <w:spacing w:line="300" w:lineRule="exact"/>
              <w:jc w:val="left"/>
              <w:rPr>
                <w:rFonts w:hint="eastAsia" w:eastAsia="宋体"/>
                <w:color w:val="auto"/>
                <w:szCs w:val="21"/>
                <w:highlight w:val="none"/>
                <w:lang w:eastAsia="zh-CN"/>
              </w:rPr>
            </w:pPr>
            <w:r>
              <w:rPr>
                <w:color w:val="auto"/>
                <w:szCs w:val="21"/>
                <w:highlight w:val="none"/>
              </w:rPr>
              <w:t>项目编号：</w:t>
            </w:r>
            <w:r>
              <w:rPr>
                <w:rFonts w:hint="eastAsia"/>
                <w:color w:val="auto"/>
                <w:szCs w:val="21"/>
                <w:highlight w:val="none"/>
                <w:lang w:eastAsia="zh-CN"/>
              </w:rPr>
              <w:t>GXJD-24114LL051558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2</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bCs/>
                <w:color w:val="auto"/>
                <w:szCs w:val="21"/>
                <w:highlight w:val="none"/>
              </w:rPr>
              <w:t>采购方式</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本项目采购方式为竞争性谈判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lang w:val="zh-CN"/>
              </w:rPr>
            </w:pPr>
            <w:r>
              <w:rPr>
                <w:rFonts w:hint="eastAsia"/>
                <w:color w:val="auto"/>
                <w:szCs w:val="21"/>
                <w:highlight w:val="none"/>
              </w:rPr>
              <w:t>云采购</w:t>
            </w:r>
            <w:r>
              <w:rPr>
                <w:rFonts w:hint="eastAsia"/>
                <w:color w:val="auto"/>
                <w:szCs w:val="21"/>
                <w:highlight w:val="none"/>
                <w:lang w:val="zh-CN"/>
              </w:rPr>
              <w:t>平台</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lang w:val="zh-CN"/>
              </w:rPr>
              <w:t>供应商资格条件</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详</w:t>
            </w:r>
            <w:r>
              <w:rPr>
                <w:color w:val="auto"/>
                <w:szCs w:val="21"/>
                <w:highlight w:val="none"/>
              </w:rPr>
              <w:t>见</w:t>
            </w:r>
            <w:r>
              <w:rPr>
                <w:rFonts w:hint="eastAsia"/>
                <w:color w:val="auto"/>
                <w:szCs w:val="21"/>
                <w:highlight w:val="none"/>
              </w:rPr>
              <w:t>谈判</w:t>
            </w:r>
            <w:r>
              <w:rPr>
                <w:color w:val="auto"/>
                <w:szCs w:val="21"/>
                <w:highlight w:val="none"/>
              </w:rPr>
              <w:t>公告</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现场踏勘</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u w:val="single"/>
              </w:rPr>
            </w:pPr>
            <w:r>
              <w:rPr>
                <w:rFonts w:hint="eastAsia"/>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转包</w:t>
            </w:r>
            <w:r>
              <w:rPr>
                <w:rFonts w:hint="eastAsia"/>
                <w:color w:val="auto"/>
                <w:szCs w:val="21"/>
                <w:highlight w:val="none"/>
              </w:rPr>
              <w:t>/</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本项目不允许转包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7</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分包</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F052"/>
            </w:r>
            <w:r>
              <w:rPr>
                <w:color w:val="auto"/>
                <w:szCs w:val="21"/>
                <w:highlight w:val="none"/>
              </w:rPr>
              <w:t>本项目不允许分包</w:t>
            </w:r>
            <w:r>
              <w:rPr>
                <w:rFonts w:hint="eastAsia"/>
                <w:color w:val="auto"/>
                <w:szCs w:val="21"/>
                <w:highlight w:val="none"/>
              </w:rPr>
              <w:t>。</w:t>
            </w:r>
          </w:p>
          <w:p>
            <w:pPr>
              <w:spacing w:line="300" w:lineRule="exact"/>
              <w:jc w:val="left"/>
              <w:rPr>
                <w:color w:val="auto"/>
                <w:szCs w:val="21"/>
                <w:highlight w:val="none"/>
              </w:rPr>
            </w:pPr>
            <w:r>
              <w:rPr>
                <w:color w:val="auto"/>
                <w:szCs w:val="21"/>
                <w:highlight w:val="none"/>
              </w:rPr>
              <w:sym w:font="Wingdings 2" w:char="F0A3"/>
            </w:r>
            <w:r>
              <w:rPr>
                <w:color w:val="auto"/>
                <w:szCs w:val="21"/>
                <w:highlight w:val="none"/>
              </w:rPr>
              <w:t>本项目允许分包</w:t>
            </w:r>
            <w:r>
              <w:rPr>
                <w:rFonts w:hint="eastAsia"/>
                <w:color w:val="auto"/>
                <w:szCs w:val="21"/>
                <w:highlight w:val="none"/>
              </w:rPr>
              <w:t>，可以分包的内容</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可以分包的</w:t>
            </w:r>
            <w:r>
              <w:rPr>
                <w:color w:val="auto"/>
                <w:szCs w:val="21"/>
                <w:highlight w:val="none"/>
              </w:rPr>
              <w:t>金额或者比例</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8</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联合体</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color w:val="auto"/>
                <w:szCs w:val="21"/>
                <w:highlight w:val="none"/>
              </w:rPr>
            </w:pPr>
            <w:bookmarkStart w:id="13" w:name="_Hlk54105293"/>
            <w:r>
              <w:rPr>
                <w:rFonts w:ascii="Arial" w:hAnsi="Arial" w:cs="Arial"/>
                <w:b/>
                <w:bCs/>
                <w:color w:val="auto"/>
                <w:szCs w:val="21"/>
                <w:highlight w:val="none"/>
              </w:rPr>
              <w:sym w:font="Wingdings 2" w:char="F052"/>
            </w:r>
            <w:r>
              <w:rPr>
                <w:rFonts w:ascii="Arial" w:hAnsi="Arial" w:cs="Arial"/>
                <w:b/>
                <w:bCs/>
                <w:color w:val="auto"/>
                <w:kern w:val="0"/>
                <w:szCs w:val="21"/>
                <w:highlight w:val="none"/>
              </w:rPr>
              <w:t>本项目不接受联合体谈判</w:t>
            </w:r>
            <w:r>
              <w:rPr>
                <w:rFonts w:hint="eastAsia" w:ascii="Arial" w:hAnsi="Arial" w:cs="Arial"/>
                <w:b/>
                <w:bCs/>
                <w:color w:val="auto"/>
                <w:kern w:val="0"/>
                <w:szCs w:val="21"/>
                <w:highlight w:val="none"/>
              </w:rPr>
              <w:t>。</w:t>
            </w:r>
          </w:p>
          <w:p>
            <w:pPr>
              <w:spacing w:line="300" w:lineRule="exact"/>
              <w:jc w:val="left"/>
              <w:rPr>
                <w:color w:val="auto"/>
                <w:szCs w:val="21"/>
                <w:highlight w:val="none"/>
              </w:rPr>
            </w:pPr>
            <w:r>
              <w:rPr>
                <w:rFonts w:hint="eastAsia"/>
                <w:color w:val="auto"/>
                <w:szCs w:val="21"/>
                <w:highlight w:val="none"/>
              </w:rPr>
              <w:t>如接受联合体响应，</w:t>
            </w:r>
            <w:bookmarkEnd w:id="13"/>
            <w:r>
              <w:rPr>
                <w:rFonts w:hint="eastAsia"/>
                <w:color w:val="auto"/>
                <w:szCs w:val="21"/>
                <w:highlight w:val="none"/>
              </w:rPr>
              <w:t>联合体响应要求如下：</w:t>
            </w:r>
            <w:r>
              <w:rPr>
                <w:color w:val="auto"/>
                <w:szCs w:val="21"/>
                <w:highlight w:val="none"/>
              </w:rPr>
              <w:t xml:space="preserve"> </w:t>
            </w:r>
          </w:p>
          <w:p>
            <w:pPr>
              <w:spacing w:line="300" w:lineRule="exact"/>
              <w:jc w:val="left"/>
              <w:rPr>
                <w:color w:val="auto"/>
                <w:szCs w:val="21"/>
                <w:highlight w:val="none"/>
              </w:rPr>
            </w:pPr>
            <w:r>
              <w:rPr>
                <w:rFonts w:hint="eastAsia"/>
                <w:color w:val="auto"/>
                <w:szCs w:val="21"/>
                <w:highlight w:val="none"/>
              </w:rPr>
              <w:t>1</w:t>
            </w:r>
            <w:r>
              <w:rPr>
                <w:color w:val="auto"/>
                <w:szCs w:val="21"/>
                <w:highlight w:val="none"/>
              </w:rPr>
              <w:t>.</w:t>
            </w:r>
            <w:r>
              <w:rPr>
                <w:rFonts w:hint="eastAsia"/>
                <w:color w:val="auto"/>
                <w:szCs w:val="21"/>
                <w:highlight w:val="none"/>
              </w:rPr>
              <w:t>供应商可以组成一个响应联合体，以一个供应商的身份共同参加响应。联合体响应的，须提供《联合体协议书》。</w:t>
            </w:r>
          </w:p>
          <w:p>
            <w:pPr>
              <w:spacing w:line="300" w:lineRule="exact"/>
              <w:jc w:val="left"/>
              <w:rPr>
                <w:color w:val="auto"/>
                <w:szCs w:val="21"/>
                <w:highlight w:val="none"/>
              </w:rPr>
            </w:pPr>
            <w:r>
              <w:rPr>
                <w:color w:val="auto"/>
                <w:szCs w:val="21"/>
                <w:highlight w:val="none"/>
              </w:rPr>
              <w:t>2.</w:t>
            </w:r>
            <w:r>
              <w:rPr>
                <w:rFonts w:hint="eastAsia"/>
                <w:color w:val="auto"/>
                <w:szCs w:val="21"/>
                <w:highlight w:val="none"/>
              </w:rPr>
              <w:t>以联合体形式参加响应的，联合体各方均必须具备《中华人民共和国政府采购法》第二十二条第一款规定的基本条件。本项目有特殊要求规定供应商特定条件的，联合体各方中至少有一方必须符合谈判文件规定的特定条件。</w:t>
            </w:r>
          </w:p>
          <w:p>
            <w:pPr>
              <w:spacing w:line="300" w:lineRule="exact"/>
              <w:jc w:val="left"/>
              <w:rPr>
                <w:color w:val="auto"/>
                <w:szCs w:val="21"/>
                <w:highlight w:val="none"/>
              </w:rPr>
            </w:pPr>
            <w:r>
              <w:rPr>
                <w:color w:val="auto"/>
                <w:szCs w:val="21"/>
                <w:highlight w:val="none"/>
              </w:rPr>
              <w:t>3.</w:t>
            </w:r>
            <w:r>
              <w:rPr>
                <w:rFonts w:hint="eastAsia"/>
                <w:color w:val="auto"/>
                <w:szCs w:val="21"/>
                <w:highlight w:val="none"/>
              </w:rPr>
              <w:t>联合体各方之间必须签订联合体协议，协议书必须明确主体方（或者牵头方）并明确约定联合体各方承担的工作和相应的责任，并将联合响应协议放入响应文件。联合体各方必须共同与采购人签订采购合同，就采购合同约定的事项对采购人承担连带责任。</w:t>
            </w:r>
          </w:p>
          <w:p>
            <w:pPr>
              <w:spacing w:line="300" w:lineRule="exact"/>
              <w:jc w:val="left"/>
              <w:rPr>
                <w:color w:val="auto"/>
                <w:szCs w:val="21"/>
                <w:highlight w:val="none"/>
              </w:rPr>
            </w:pPr>
            <w:r>
              <w:rPr>
                <w:color w:val="auto"/>
                <w:szCs w:val="21"/>
                <w:highlight w:val="none"/>
              </w:rPr>
              <w:t>4.</w:t>
            </w:r>
            <w:r>
              <w:rPr>
                <w:rFonts w:hint="eastAsia"/>
                <w:color w:val="auto"/>
                <w:szCs w:val="21"/>
                <w:highlight w:val="none"/>
              </w:rPr>
              <w:t>以联合体形式参加采购活动的，联合体各方不得再单独参加或者与其他供应商另外组成联合体参加同一合同项下的采购活动。</w:t>
            </w:r>
          </w:p>
          <w:p>
            <w:pPr>
              <w:spacing w:line="300" w:lineRule="exact"/>
              <w:jc w:val="left"/>
              <w:rPr>
                <w:color w:val="auto"/>
                <w:szCs w:val="21"/>
                <w:highlight w:val="none"/>
              </w:rPr>
            </w:pPr>
            <w:r>
              <w:rPr>
                <w:color w:val="auto"/>
                <w:szCs w:val="21"/>
                <w:highlight w:val="none"/>
              </w:rPr>
              <w:t>5.</w:t>
            </w:r>
            <w:r>
              <w:rPr>
                <w:rFonts w:hint="eastAsia"/>
                <w:color w:val="auto"/>
                <w:szCs w:val="21"/>
                <w:highlight w:val="none"/>
              </w:rPr>
              <w:t>联合体中有同类资质的供应商按照联合体分工承担相同工作的，应当按照资质等级较低的供应商确定资质等级。</w:t>
            </w:r>
          </w:p>
          <w:p>
            <w:pPr>
              <w:spacing w:line="300" w:lineRule="exact"/>
              <w:jc w:val="left"/>
              <w:rPr>
                <w:color w:val="auto"/>
                <w:szCs w:val="21"/>
                <w:highlight w:val="none"/>
              </w:rPr>
            </w:pPr>
            <w:r>
              <w:rPr>
                <w:color w:val="auto"/>
                <w:szCs w:val="21"/>
                <w:highlight w:val="none"/>
              </w:rPr>
              <w:t>6.</w:t>
            </w:r>
            <w:r>
              <w:rPr>
                <w:rFonts w:hint="eastAsia"/>
                <w:color w:val="auto"/>
                <w:szCs w:val="21"/>
                <w:highlight w:val="none"/>
              </w:rPr>
              <w:t>联合体响应业绩、履约能力按照联合体各方其中较高的一方认定并计算（谈判文件其他章节另有规定的除外）。</w:t>
            </w:r>
          </w:p>
          <w:p>
            <w:pPr>
              <w:spacing w:line="300" w:lineRule="exact"/>
              <w:jc w:val="left"/>
              <w:rPr>
                <w:color w:val="auto"/>
                <w:szCs w:val="21"/>
                <w:highlight w:val="none"/>
              </w:rPr>
            </w:pPr>
            <w:r>
              <w:rPr>
                <w:color w:val="auto"/>
                <w:szCs w:val="21"/>
                <w:highlight w:val="none"/>
              </w:rPr>
              <w:t>7.</w:t>
            </w:r>
            <w:r>
              <w:rPr>
                <w:rFonts w:hint="eastAsia"/>
                <w:color w:val="auto"/>
                <w:szCs w:val="21"/>
                <w:highlight w:val="none"/>
              </w:rPr>
              <w:t>供应商为联合体的，可以由联合体中的一方或者多方共同交纳谈判保证金，其交纳的保证金对联合体各方均具有约束力。</w:t>
            </w:r>
          </w:p>
          <w:p>
            <w:pPr>
              <w:spacing w:line="300" w:lineRule="exact"/>
              <w:jc w:val="left"/>
              <w:rPr>
                <w:color w:val="auto"/>
                <w:szCs w:val="21"/>
                <w:highlight w:val="none"/>
              </w:rPr>
            </w:pPr>
            <w:r>
              <w:rPr>
                <w:color w:val="auto"/>
                <w:szCs w:val="21"/>
                <w:highlight w:val="none"/>
              </w:rPr>
              <w:t>8.</w:t>
            </w:r>
            <w:r>
              <w:rPr>
                <w:rFonts w:hint="eastAsia"/>
                <w:color w:val="auto"/>
                <w:szCs w:val="21"/>
                <w:highlight w:val="none"/>
              </w:rPr>
              <w:t>联合体各方均应按照谈判文件的规定提交资格证明文件。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9</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谈判</w:t>
            </w:r>
            <w:r>
              <w:rPr>
                <w:color w:val="auto"/>
                <w:szCs w:val="21"/>
                <w:highlight w:val="none"/>
              </w:rPr>
              <w:t>文件澄清、修改</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F052"/>
            </w:r>
            <w:r>
              <w:rPr>
                <w:rFonts w:hint="eastAsia"/>
                <w:color w:val="auto"/>
                <w:szCs w:val="21"/>
                <w:highlight w:val="none"/>
              </w:rPr>
              <w:t>以书面形式发给所有供应商</w:t>
            </w:r>
          </w:p>
          <w:p>
            <w:pPr>
              <w:spacing w:line="300" w:lineRule="exact"/>
              <w:jc w:val="left"/>
              <w:rPr>
                <w:color w:val="auto"/>
                <w:szCs w:val="21"/>
                <w:highlight w:val="none"/>
              </w:rPr>
            </w:pPr>
            <w:r>
              <w:rPr>
                <w:color w:val="auto"/>
                <w:szCs w:val="21"/>
                <w:highlight w:val="none"/>
              </w:rPr>
              <w:sym w:font="Wingdings 2" w:char="00A3"/>
            </w:r>
            <w:r>
              <w:rPr>
                <w:color w:val="auto"/>
                <w:szCs w:val="21"/>
                <w:highlight w:val="none"/>
              </w:rPr>
              <w:t>在</w:t>
            </w:r>
            <w:r>
              <w:rPr>
                <w:rFonts w:hint="eastAsia"/>
                <w:color w:val="auto"/>
                <w:szCs w:val="21"/>
                <w:highlight w:val="none"/>
              </w:rPr>
              <w:t>精彩纵横云采购平台网站 (https://www.yingcaicheng.com/)</w:t>
            </w:r>
            <w:r>
              <w:rPr>
                <w:color w:val="auto"/>
                <w:szCs w:val="21"/>
                <w:highlight w:val="none"/>
              </w:rPr>
              <w:t>上以书面形式推送至</w:t>
            </w:r>
            <w:r>
              <w:rPr>
                <w:rFonts w:hint="eastAsia"/>
                <w:color w:val="auto"/>
                <w:szCs w:val="21"/>
                <w:highlight w:val="none"/>
              </w:rPr>
              <w:t>供应商</w:t>
            </w:r>
            <w:r>
              <w:rPr>
                <w:color w:val="auto"/>
                <w:szCs w:val="21"/>
                <w:highlight w:val="none"/>
              </w:rPr>
              <w:t>并在</w:t>
            </w:r>
            <w:r>
              <w:rPr>
                <w:rFonts w:hint="eastAsia"/>
                <w:color w:val="auto"/>
                <w:szCs w:val="21"/>
                <w:highlight w:val="none"/>
              </w:rPr>
              <w:t>谈判</w:t>
            </w:r>
            <w:r>
              <w:rPr>
                <w:color w:val="auto"/>
                <w:szCs w:val="21"/>
                <w:highlight w:val="none"/>
              </w:rPr>
              <w:t>公告发布媒介上发布</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谈判</w:t>
            </w:r>
            <w:r>
              <w:rPr>
                <w:color w:val="auto"/>
                <w:szCs w:val="21"/>
                <w:highlight w:val="none"/>
              </w:rPr>
              <w:t>文件澄清、答复、修改、补充的内容为</w:t>
            </w:r>
            <w:r>
              <w:rPr>
                <w:rFonts w:hint="eastAsia"/>
                <w:color w:val="auto"/>
                <w:szCs w:val="21"/>
                <w:highlight w:val="none"/>
              </w:rPr>
              <w:t>谈判</w:t>
            </w:r>
            <w:r>
              <w:rPr>
                <w:color w:val="auto"/>
                <w:szCs w:val="21"/>
                <w:highlight w:val="none"/>
              </w:rPr>
              <w:t>文件的组成部分。当</w:t>
            </w:r>
            <w:r>
              <w:rPr>
                <w:rFonts w:hint="eastAsia"/>
                <w:color w:val="auto"/>
                <w:szCs w:val="21"/>
                <w:highlight w:val="none"/>
              </w:rPr>
              <w:t>谈判</w:t>
            </w:r>
            <w:r>
              <w:rPr>
                <w:color w:val="auto"/>
                <w:szCs w:val="21"/>
                <w:highlight w:val="none"/>
              </w:rPr>
              <w:t>文件与</w:t>
            </w:r>
            <w:r>
              <w:rPr>
                <w:rFonts w:hint="eastAsia"/>
                <w:color w:val="auto"/>
                <w:szCs w:val="21"/>
                <w:highlight w:val="none"/>
              </w:rPr>
              <w:t>谈判</w:t>
            </w:r>
            <w:r>
              <w:rPr>
                <w:color w:val="auto"/>
                <w:szCs w:val="21"/>
                <w:highlight w:val="none"/>
              </w:rPr>
              <w:t>文件的答复、澄清、修改、补充通知就同一内容的表述不一致时，以最后发出的文件为准。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10</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确认收到澄清、修改发布的方式</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00A3"/>
            </w:r>
            <w:r>
              <w:rPr>
                <w:color w:val="auto"/>
                <w:szCs w:val="21"/>
                <w:highlight w:val="none"/>
              </w:rPr>
              <w:t>供应商在收到澄清、修改文件后24小时内以书面形式通知采购人，确认已收到该澄清。书面形式确认可通过扫描件发送到邮箱，邮箱：</w:t>
            </w:r>
            <w:r>
              <w:rPr>
                <w:color w:val="auto"/>
                <w:szCs w:val="21"/>
                <w:highlight w:val="none"/>
                <w:u w:val="single"/>
              </w:rPr>
              <w:t xml:space="preserve">       </w:t>
            </w:r>
            <w:r>
              <w:rPr>
                <w:color w:val="auto"/>
                <w:szCs w:val="21"/>
                <w:highlight w:val="none"/>
              </w:rPr>
              <w:t>。</w:t>
            </w:r>
          </w:p>
          <w:p>
            <w:pPr>
              <w:spacing w:line="300" w:lineRule="exact"/>
              <w:jc w:val="left"/>
              <w:rPr>
                <w:color w:val="auto"/>
                <w:szCs w:val="21"/>
                <w:highlight w:val="none"/>
              </w:rPr>
            </w:pPr>
            <w:r>
              <w:rPr>
                <w:color w:val="auto"/>
                <w:szCs w:val="21"/>
                <w:highlight w:val="none"/>
              </w:rPr>
              <w:sym w:font="Wingdings 2" w:char="0052"/>
            </w:r>
            <w:r>
              <w:rPr>
                <w:color w:val="auto"/>
                <w:szCs w:val="21"/>
                <w:highlight w:val="none"/>
              </w:rPr>
              <w:t>澄清、修改文件在</w:t>
            </w:r>
            <w:r>
              <w:rPr>
                <w:rFonts w:hint="eastAsia"/>
                <w:color w:val="auto"/>
                <w:szCs w:val="21"/>
                <w:highlight w:val="none"/>
              </w:rPr>
              <w:t>谈判</w:t>
            </w:r>
            <w:r>
              <w:rPr>
                <w:color w:val="auto"/>
                <w:szCs w:val="21"/>
                <w:highlight w:val="none"/>
              </w:rPr>
              <w:t>公告发布媒</w:t>
            </w:r>
            <w:r>
              <w:rPr>
                <w:rFonts w:hint="eastAsia"/>
                <w:color w:val="auto"/>
                <w:szCs w:val="21"/>
                <w:highlight w:val="none"/>
              </w:rPr>
              <w:t>体</w:t>
            </w:r>
            <w:r>
              <w:rPr>
                <w:color w:val="auto"/>
                <w:szCs w:val="21"/>
                <w:highlight w:val="none"/>
              </w:rPr>
              <w:t>发布之日起，视为供应商已收到该澄清、修改。供应商未及时关注发布媒</w:t>
            </w:r>
            <w:r>
              <w:rPr>
                <w:rFonts w:hint="eastAsia"/>
                <w:color w:val="auto"/>
                <w:szCs w:val="21"/>
                <w:highlight w:val="none"/>
              </w:rPr>
              <w:t>体</w:t>
            </w:r>
            <w:r>
              <w:rPr>
                <w:color w:val="auto"/>
                <w:szCs w:val="21"/>
                <w:highlight w:val="none"/>
              </w:rPr>
              <w:t>造成的损失，由供应商自行负责。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11</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响应有效期</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响应文件递交截止之日起</w:t>
            </w:r>
            <w:r>
              <w:rPr>
                <w:rFonts w:hint="eastAsia"/>
                <w:color w:val="auto"/>
                <w:szCs w:val="21"/>
                <w:highlight w:val="none"/>
              </w:rPr>
              <w:t>12</w:t>
            </w:r>
            <w:r>
              <w:rPr>
                <w:color w:val="auto"/>
                <w:szCs w:val="21"/>
                <w:highlight w:val="none"/>
              </w:rPr>
              <w:t>0天。响应有效期不足的响应文件将被否决。在特殊情况下，采购人可与供应商协商延长响应文件的有效期，这种要求和答复均以书面形式进行。供应商可拒绝接受延期要求而不会导致谈判保证金被没收。同意延长有效期的供应商需要相应延长谈判保证金的有效期，但不能修改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12</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谈判</w:t>
            </w:r>
            <w:r>
              <w:rPr>
                <w:color w:val="auto"/>
                <w:szCs w:val="21"/>
                <w:highlight w:val="none"/>
              </w:rPr>
              <w:t>保证金</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b/>
                <w:bCs/>
                <w:color w:val="auto"/>
                <w:szCs w:val="21"/>
                <w:highlight w:val="none"/>
              </w:rPr>
            </w:pPr>
            <w:r>
              <w:rPr>
                <w:rFonts w:hint="eastAsia"/>
                <w:color w:val="auto"/>
                <w:szCs w:val="21"/>
                <w:highlight w:val="none"/>
              </w:rPr>
              <w:t>谈判</w:t>
            </w:r>
            <w:r>
              <w:rPr>
                <w:color w:val="auto"/>
                <w:szCs w:val="21"/>
                <w:highlight w:val="none"/>
              </w:rPr>
              <w:t>保证金</w:t>
            </w:r>
            <w:r>
              <w:rPr>
                <w:rFonts w:hint="eastAsia"/>
                <w:color w:val="auto"/>
                <w:szCs w:val="21"/>
                <w:highlight w:val="none"/>
              </w:rPr>
              <w:t>金额</w:t>
            </w:r>
            <w:r>
              <w:rPr>
                <w:color w:val="auto"/>
                <w:szCs w:val="21"/>
                <w:highlight w:val="none"/>
              </w:rPr>
              <w:t>：</w:t>
            </w:r>
            <w:r>
              <w:rPr>
                <w:rFonts w:hint="eastAsia"/>
                <w:b/>
                <w:bCs/>
                <w:color w:val="auto"/>
                <w:szCs w:val="21"/>
                <w:highlight w:val="none"/>
              </w:rPr>
              <w:t>本项目不需要提交谈判保证金。</w:t>
            </w:r>
          </w:p>
          <w:p>
            <w:pPr>
              <w:spacing w:line="300" w:lineRule="exact"/>
              <w:jc w:val="left"/>
              <w:rPr>
                <w:color w:val="auto"/>
                <w:szCs w:val="21"/>
                <w:highlight w:val="none"/>
              </w:rPr>
            </w:pPr>
            <w:r>
              <w:rPr>
                <w:rFonts w:hint="eastAsia"/>
                <w:color w:val="auto"/>
                <w:szCs w:val="21"/>
                <w:highlight w:val="none"/>
              </w:rPr>
              <w:t>（1）</w:t>
            </w:r>
            <w:r>
              <w:rPr>
                <w:color w:val="auto"/>
                <w:szCs w:val="21"/>
                <w:highlight w:val="none"/>
              </w:rPr>
              <w:t>供应商应于</w:t>
            </w:r>
            <w:r>
              <w:rPr>
                <w:rFonts w:hint="eastAsia"/>
                <w:color w:val="auto"/>
                <w:szCs w:val="21"/>
                <w:highlight w:val="none"/>
              </w:rPr>
              <w:t>谈判截止</w:t>
            </w:r>
            <w:r>
              <w:rPr>
                <w:color w:val="auto"/>
                <w:szCs w:val="21"/>
                <w:highlight w:val="none"/>
              </w:rPr>
              <w:t>时间前将</w:t>
            </w:r>
            <w:r>
              <w:rPr>
                <w:rFonts w:hint="eastAsia"/>
                <w:color w:val="auto"/>
                <w:szCs w:val="21"/>
                <w:highlight w:val="none"/>
              </w:rPr>
              <w:t>谈判</w:t>
            </w:r>
            <w:r>
              <w:rPr>
                <w:color w:val="auto"/>
                <w:szCs w:val="21"/>
                <w:highlight w:val="none"/>
              </w:rPr>
              <w:t>保证金以电汇、转账形式从供应商账户一次性足额</w:t>
            </w:r>
            <w:r>
              <w:rPr>
                <w:rFonts w:hint="eastAsia"/>
                <w:color w:val="auto"/>
                <w:szCs w:val="21"/>
                <w:highlight w:val="none"/>
              </w:rPr>
              <w:t>缴</w:t>
            </w:r>
            <w:r>
              <w:rPr>
                <w:color w:val="auto"/>
                <w:szCs w:val="21"/>
                <w:highlight w:val="none"/>
              </w:rPr>
              <w:t>纳至本项目（各</w:t>
            </w:r>
            <w:r>
              <w:rPr>
                <w:rFonts w:hint="eastAsia"/>
                <w:color w:val="auto"/>
                <w:szCs w:val="21"/>
                <w:highlight w:val="none"/>
              </w:rPr>
              <w:t>分标</w:t>
            </w:r>
            <w:r>
              <w:rPr>
                <w:color w:val="auto"/>
                <w:szCs w:val="21"/>
                <w:highlight w:val="none"/>
              </w:rPr>
              <w:t>）对应的专用虚拟账号，所交纳的</w:t>
            </w:r>
            <w:r>
              <w:rPr>
                <w:rFonts w:hint="eastAsia"/>
                <w:color w:val="auto"/>
                <w:szCs w:val="21"/>
                <w:highlight w:val="none"/>
              </w:rPr>
              <w:t>谈判</w:t>
            </w:r>
            <w:r>
              <w:rPr>
                <w:color w:val="auto"/>
                <w:szCs w:val="21"/>
                <w:highlight w:val="none"/>
              </w:rPr>
              <w:t>保证金仅限当次项目（</w:t>
            </w:r>
            <w:r>
              <w:rPr>
                <w:rFonts w:hint="eastAsia"/>
                <w:color w:val="auto"/>
                <w:szCs w:val="21"/>
                <w:highlight w:val="none"/>
              </w:rPr>
              <w:t>分标</w:t>
            </w:r>
            <w:r>
              <w:rPr>
                <w:color w:val="auto"/>
                <w:szCs w:val="21"/>
                <w:highlight w:val="none"/>
              </w:rPr>
              <w:t>）有效，不得重复替代使用。本项目</w:t>
            </w:r>
            <w:r>
              <w:rPr>
                <w:rFonts w:hint="eastAsia"/>
                <w:color w:val="auto"/>
                <w:szCs w:val="21"/>
                <w:highlight w:val="none"/>
              </w:rPr>
              <w:t>谈判</w:t>
            </w:r>
            <w:r>
              <w:rPr>
                <w:color w:val="auto"/>
                <w:szCs w:val="21"/>
                <w:highlight w:val="none"/>
              </w:rPr>
              <w:t>保证金</w:t>
            </w:r>
            <w:r>
              <w:rPr>
                <w:rFonts w:hint="eastAsia"/>
                <w:color w:val="auto"/>
                <w:szCs w:val="21"/>
                <w:highlight w:val="none"/>
              </w:rPr>
              <w:t>缴</w:t>
            </w:r>
            <w:r>
              <w:rPr>
                <w:color w:val="auto"/>
                <w:szCs w:val="21"/>
                <w:highlight w:val="none"/>
              </w:rPr>
              <w:t>纳专用虚拟账号信息如下</w:t>
            </w:r>
            <w:r>
              <w:rPr>
                <w:rFonts w:hint="eastAsia"/>
                <w:color w:val="auto"/>
                <w:szCs w:val="21"/>
                <w:highlight w:val="none"/>
              </w:rPr>
              <w:t>。</w:t>
            </w:r>
          </w:p>
          <w:p>
            <w:pPr>
              <w:spacing w:line="300" w:lineRule="exact"/>
              <w:ind w:firstLine="420" w:firstLineChars="200"/>
              <w:jc w:val="left"/>
              <w:rPr>
                <w:color w:val="auto"/>
                <w:szCs w:val="21"/>
                <w:highlight w:val="none"/>
              </w:rPr>
            </w:pPr>
            <w:r>
              <w:rPr>
                <w:rFonts w:hint="eastAsia"/>
                <w:color w:val="auto"/>
                <w:szCs w:val="21"/>
                <w:highlight w:val="none"/>
              </w:rPr>
              <w:t>开户名称：/</w:t>
            </w:r>
          </w:p>
          <w:p>
            <w:pPr>
              <w:spacing w:line="300" w:lineRule="exact"/>
              <w:ind w:firstLine="420" w:firstLineChars="200"/>
              <w:jc w:val="left"/>
              <w:rPr>
                <w:color w:val="auto"/>
                <w:szCs w:val="21"/>
                <w:highlight w:val="none"/>
              </w:rPr>
            </w:pPr>
            <w:r>
              <w:rPr>
                <w:rFonts w:hint="eastAsia"/>
                <w:color w:val="auto"/>
                <w:szCs w:val="21"/>
                <w:highlight w:val="none"/>
              </w:rPr>
              <w:t>开户银行：/</w:t>
            </w:r>
          </w:p>
          <w:p>
            <w:pPr>
              <w:spacing w:line="300" w:lineRule="exact"/>
              <w:ind w:firstLine="420" w:firstLineChars="200"/>
              <w:jc w:val="left"/>
              <w:rPr>
                <w:color w:val="auto"/>
                <w:szCs w:val="21"/>
                <w:highlight w:val="none"/>
              </w:rPr>
            </w:pPr>
            <w:r>
              <w:rPr>
                <w:rFonts w:hint="eastAsia"/>
                <w:color w:val="auto"/>
                <w:szCs w:val="21"/>
                <w:highlight w:val="none"/>
              </w:rPr>
              <w:t>银行账号：/</w:t>
            </w:r>
          </w:p>
          <w:p>
            <w:pPr>
              <w:spacing w:line="300" w:lineRule="exact"/>
              <w:jc w:val="left"/>
              <w:rPr>
                <w:color w:val="auto"/>
                <w:szCs w:val="21"/>
                <w:highlight w:val="none"/>
              </w:rPr>
            </w:pPr>
            <w:r>
              <w:rPr>
                <w:rFonts w:hint="eastAsia" w:ascii="宋体" w:hAnsi="宋体"/>
                <w:color w:val="auto"/>
                <w:szCs w:val="21"/>
                <w:highlight w:val="none"/>
              </w:rPr>
              <w:t>①</w:t>
            </w:r>
            <w:r>
              <w:rPr>
                <w:color w:val="auto"/>
                <w:szCs w:val="21"/>
                <w:highlight w:val="none"/>
              </w:rPr>
              <w:t>特别说明：本项目保证金采用虚拟账号，为保证</w:t>
            </w:r>
            <w:r>
              <w:rPr>
                <w:rFonts w:hint="eastAsia"/>
                <w:color w:val="auto"/>
                <w:szCs w:val="21"/>
                <w:highlight w:val="none"/>
              </w:rPr>
              <w:t>谈判</w:t>
            </w:r>
            <w:r>
              <w:rPr>
                <w:color w:val="auto"/>
                <w:szCs w:val="21"/>
                <w:highlight w:val="none"/>
              </w:rPr>
              <w:t>保证金与项目一一对应，供应商如</w:t>
            </w:r>
            <w:r>
              <w:rPr>
                <w:rFonts w:hint="eastAsia"/>
                <w:color w:val="auto"/>
                <w:szCs w:val="21"/>
                <w:highlight w:val="none"/>
              </w:rPr>
              <w:t>参加</w:t>
            </w:r>
            <w:r>
              <w:rPr>
                <w:color w:val="auto"/>
                <w:szCs w:val="21"/>
                <w:highlight w:val="none"/>
              </w:rPr>
              <w:t>本项目多个</w:t>
            </w:r>
            <w:r>
              <w:rPr>
                <w:rFonts w:hint="eastAsia"/>
                <w:color w:val="auto"/>
                <w:szCs w:val="21"/>
                <w:highlight w:val="none"/>
              </w:rPr>
              <w:t>分标</w:t>
            </w:r>
            <w:r>
              <w:rPr>
                <w:color w:val="auto"/>
                <w:szCs w:val="21"/>
                <w:highlight w:val="none"/>
              </w:rPr>
              <w:t>的</w:t>
            </w:r>
            <w:r>
              <w:rPr>
                <w:rFonts w:hint="eastAsia"/>
                <w:color w:val="auto"/>
                <w:szCs w:val="21"/>
                <w:highlight w:val="none"/>
              </w:rPr>
              <w:t>谈判</w:t>
            </w:r>
            <w:r>
              <w:rPr>
                <w:color w:val="auto"/>
                <w:szCs w:val="21"/>
                <w:highlight w:val="none"/>
              </w:rPr>
              <w:t>，应按各</w:t>
            </w:r>
            <w:r>
              <w:rPr>
                <w:rFonts w:hint="eastAsia"/>
                <w:color w:val="auto"/>
                <w:szCs w:val="21"/>
                <w:highlight w:val="none"/>
              </w:rPr>
              <w:t>分标</w:t>
            </w:r>
            <w:r>
              <w:rPr>
                <w:color w:val="auto"/>
                <w:szCs w:val="21"/>
                <w:highlight w:val="none"/>
              </w:rPr>
              <w:t>对应的专用虚拟账号分别</w:t>
            </w:r>
            <w:r>
              <w:rPr>
                <w:rFonts w:hint="eastAsia"/>
                <w:color w:val="auto"/>
                <w:szCs w:val="21"/>
                <w:highlight w:val="none"/>
              </w:rPr>
              <w:t>缴纳谈判</w:t>
            </w:r>
            <w:r>
              <w:rPr>
                <w:color w:val="auto"/>
                <w:szCs w:val="21"/>
                <w:highlight w:val="none"/>
              </w:rPr>
              <w:t>保证金。</w:t>
            </w:r>
          </w:p>
          <w:p>
            <w:pPr>
              <w:spacing w:line="300" w:lineRule="exact"/>
              <w:jc w:val="left"/>
              <w:rPr>
                <w:color w:val="auto"/>
                <w:szCs w:val="21"/>
                <w:highlight w:val="none"/>
              </w:rPr>
            </w:pPr>
            <w:r>
              <w:rPr>
                <w:rFonts w:hint="eastAsia" w:ascii="宋体" w:hAnsi="宋体"/>
                <w:color w:val="auto"/>
                <w:szCs w:val="21"/>
                <w:highlight w:val="none"/>
              </w:rPr>
              <w:t>②</w:t>
            </w:r>
            <w:r>
              <w:rPr>
                <w:rFonts w:hint="eastAsia"/>
                <w:color w:val="auto"/>
                <w:szCs w:val="21"/>
                <w:highlight w:val="none"/>
              </w:rPr>
              <w:t>谈判</w:t>
            </w:r>
            <w:r>
              <w:rPr>
                <w:color w:val="auto"/>
                <w:szCs w:val="21"/>
                <w:highlight w:val="none"/>
              </w:rPr>
              <w:t>保证金币种应与</w:t>
            </w:r>
            <w:r>
              <w:rPr>
                <w:rFonts w:hint="eastAsia"/>
                <w:color w:val="auto"/>
                <w:szCs w:val="21"/>
                <w:highlight w:val="none"/>
              </w:rPr>
              <w:t>谈判</w:t>
            </w:r>
            <w:r>
              <w:rPr>
                <w:color w:val="auto"/>
                <w:szCs w:val="21"/>
                <w:highlight w:val="none"/>
              </w:rPr>
              <w:t>报价币种相同。</w:t>
            </w:r>
            <w:r>
              <w:rPr>
                <w:rFonts w:hint="eastAsia"/>
                <w:color w:val="auto"/>
                <w:szCs w:val="21"/>
                <w:highlight w:val="none"/>
              </w:rPr>
              <w:t>谈判保证金缴纳</w:t>
            </w:r>
            <w:r>
              <w:rPr>
                <w:color w:val="auto"/>
                <w:szCs w:val="21"/>
                <w:highlight w:val="none"/>
              </w:rPr>
              <w:t>后无需开具收据，但必须在</w:t>
            </w:r>
            <w:r>
              <w:rPr>
                <w:rFonts w:hint="eastAsia"/>
                <w:color w:val="auto"/>
                <w:szCs w:val="21"/>
                <w:highlight w:val="none"/>
              </w:rPr>
              <w:t>谈判</w:t>
            </w:r>
            <w:r>
              <w:rPr>
                <w:color w:val="auto"/>
                <w:szCs w:val="21"/>
                <w:highlight w:val="none"/>
              </w:rPr>
              <w:t>截</w:t>
            </w:r>
            <w:r>
              <w:rPr>
                <w:rFonts w:hint="eastAsia"/>
                <w:color w:val="auto"/>
                <w:szCs w:val="21"/>
                <w:highlight w:val="none"/>
              </w:rPr>
              <w:t>止</w:t>
            </w:r>
            <w:r>
              <w:rPr>
                <w:color w:val="auto"/>
                <w:szCs w:val="21"/>
                <w:highlight w:val="none"/>
              </w:rPr>
              <w:t>时间之前到达指定账号，其到账时间以银行确认的到账时间为准。</w:t>
            </w:r>
          </w:p>
          <w:p>
            <w:pPr>
              <w:spacing w:line="300" w:lineRule="exact"/>
              <w:jc w:val="left"/>
              <w:rPr>
                <w:color w:val="auto"/>
                <w:szCs w:val="21"/>
                <w:highlight w:val="none"/>
              </w:rPr>
            </w:pPr>
            <w:r>
              <w:rPr>
                <w:rFonts w:hint="eastAsia" w:ascii="宋体" w:hAnsi="宋体"/>
                <w:color w:val="auto"/>
                <w:szCs w:val="21"/>
                <w:highlight w:val="none"/>
              </w:rPr>
              <w:t>③</w:t>
            </w:r>
            <w:r>
              <w:rPr>
                <w:color w:val="auto"/>
                <w:szCs w:val="21"/>
                <w:highlight w:val="none"/>
              </w:rPr>
              <w:t>除</w:t>
            </w:r>
            <w:r>
              <w:rPr>
                <w:rFonts w:hint="eastAsia"/>
                <w:color w:val="auto"/>
                <w:szCs w:val="21"/>
                <w:highlight w:val="none"/>
              </w:rPr>
              <w:t>谈判</w:t>
            </w:r>
            <w:r>
              <w:rPr>
                <w:color w:val="auto"/>
                <w:szCs w:val="21"/>
                <w:highlight w:val="none"/>
              </w:rPr>
              <w:t>文件规定不予退还保证金的情形外，采购代理机构</w:t>
            </w:r>
            <w:r>
              <w:rPr>
                <w:rFonts w:hint="eastAsia"/>
                <w:color w:val="auto"/>
                <w:szCs w:val="21"/>
                <w:highlight w:val="none"/>
              </w:rPr>
              <w:t>在法定时间内通过银行原路</w:t>
            </w:r>
            <w:r>
              <w:rPr>
                <w:color w:val="auto"/>
                <w:szCs w:val="21"/>
                <w:highlight w:val="none"/>
              </w:rPr>
              <w:t>退</w:t>
            </w:r>
            <w:r>
              <w:rPr>
                <w:rFonts w:hint="eastAsia"/>
                <w:color w:val="auto"/>
                <w:szCs w:val="21"/>
                <w:highlight w:val="none"/>
              </w:rPr>
              <w:t>还保证金至供应商缴纳账户。供应商</w:t>
            </w:r>
            <w:r>
              <w:rPr>
                <w:color w:val="auto"/>
                <w:szCs w:val="21"/>
                <w:highlight w:val="none"/>
              </w:rPr>
              <w:t>自行承担</w:t>
            </w:r>
            <w:r>
              <w:rPr>
                <w:rFonts w:hint="eastAsia"/>
                <w:color w:val="auto"/>
                <w:szCs w:val="21"/>
                <w:highlight w:val="none"/>
              </w:rPr>
              <w:t>谈判人交纳保证金后未参加谈判活动或谈判保证金缴纳错误而</w:t>
            </w:r>
            <w:r>
              <w:rPr>
                <w:color w:val="auto"/>
                <w:szCs w:val="21"/>
                <w:highlight w:val="none"/>
              </w:rPr>
              <w:t>导致</w:t>
            </w:r>
            <w:r>
              <w:rPr>
                <w:rFonts w:hint="eastAsia"/>
                <w:color w:val="auto"/>
                <w:szCs w:val="21"/>
                <w:highlight w:val="none"/>
              </w:rPr>
              <w:t>谈判保证金</w:t>
            </w:r>
            <w:r>
              <w:rPr>
                <w:color w:val="auto"/>
                <w:szCs w:val="21"/>
                <w:highlight w:val="none"/>
              </w:rPr>
              <w:t>无法及时退还的责任</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w:t>
            </w:r>
            <w:r>
              <w:rPr>
                <w:color w:val="auto"/>
                <w:szCs w:val="21"/>
                <w:highlight w:val="none"/>
              </w:rPr>
              <w:t>2</w:t>
            </w:r>
            <w:r>
              <w:rPr>
                <w:rFonts w:hint="eastAsia"/>
                <w:color w:val="auto"/>
                <w:szCs w:val="21"/>
                <w:highlight w:val="none"/>
              </w:rPr>
              <w:t>）</w:t>
            </w:r>
            <w:r>
              <w:rPr>
                <w:color w:val="auto"/>
                <w:szCs w:val="21"/>
                <w:highlight w:val="none"/>
              </w:rPr>
              <w:t>财务部联系电话：0771-2821398</w:t>
            </w:r>
          </w:p>
          <w:p>
            <w:pPr>
              <w:spacing w:line="300" w:lineRule="exact"/>
              <w:jc w:val="left"/>
              <w:rPr>
                <w:color w:val="auto"/>
                <w:szCs w:val="21"/>
                <w:highlight w:val="none"/>
              </w:rPr>
            </w:pPr>
            <w:r>
              <w:rPr>
                <w:rFonts w:hint="eastAsia"/>
                <w:color w:val="auto"/>
                <w:szCs w:val="21"/>
                <w:highlight w:val="none"/>
              </w:rPr>
              <w:t>（</w:t>
            </w:r>
            <w:r>
              <w:rPr>
                <w:color w:val="auto"/>
                <w:szCs w:val="21"/>
                <w:highlight w:val="none"/>
              </w:rPr>
              <w:t>3</w:t>
            </w:r>
            <w:r>
              <w:rPr>
                <w:rFonts w:hint="eastAsia"/>
                <w:color w:val="auto"/>
                <w:szCs w:val="21"/>
                <w:highlight w:val="none"/>
              </w:rPr>
              <w:t>）</w:t>
            </w:r>
            <w:r>
              <w:rPr>
                <w:color w:val="auto"/>
                <w:szCs w:val="21"/>
                <w:highlight w:val="none"/>
              </w:rPr>
              <w:t>未按</w:t>
            </w:r>
            <w:r>
              <w:rPr>
                <w:rFonts w:hint="eastAsia"/>
                <w:color w:val="auto"/>
                <w:szCs w:val="21"/>
                <w:highlight w:val="none"/>
              </w:rPr>
              <w:t>以上</w:t>
            </w:r>
            <w:r>
              <w:rPr>
                <w:color w:val="auto"/>
                <w:szCs w:val="21"/>
                <w:highlight w:val="none"/>
              </w:rPr>
              <w:t>要求</w:t>
            </w:r>
            <w:r>
              <w:rPr>
                <w:rFonts w:hint="eastAsia"/>
                <w:color w:val="auto"/>
                <w:szCs w:val="21"/>
                <w:highlight w:val="none"/>
              </w:rPr>
              <w:t>缴</w:t>
            </w:r>
            <w:r>
              <w:rPr>
                <w:color w:val="auto"/>
                <w:szCs w:val="21"/>
                <w:highlight w:val="none"/>
              </w:rPr>
              <w:t>纳</w:t>
            </w:r>
            <w:r>
              <w:rPr>
                <w:rFonts w:hint="eastAsia"/>
                <w:color w:val="auto"/>
                <w:szCs w:val="21"/>
                <w:highlight w:val="none"/>
              </w:rPr>
              <w:t>谈判保证金</w:t>
            </w:r>
            <w:r>
              <w:rPr>
                <w:color w:val="auto"/>
                <w:szCs w:val="21"/>
                <w:highlight w:val="none"/>
              </w:rPr>
              <w:t>的</w:t>
            </w:r>
            <w:r>
              <w:rPr>
                <w:rFonts w:hint="eastAsia"/>
                <w:color w:val="auto"/>
                <w:szCs w:val="21"/>
                <w:highlight w:val="none"/>
              </w:rPr>
              <w:t>响应</w:t>
            </w:r>
            <w:r>
              <w:rPr>
                <w:color w:val="auto"/>
                <w:szCs w:val="21"/>
                <w:highlight w:val="none"/>
              </w:rPr>
              <w:t>文件，将作无效</w:t>
            </w:r>
            <w:r>
              <w:rPr>
                <w:rFonts w:hint="eastAsia"/>
                <w:color w:val="auto"/>
                <w:szCs w:val="21"/>
                <w:highlight w:val="none"/>
              </w:rPr>
              <w:t>响应</w:t>
            </w:r>
            <w:r>
              <w:rPr>
                <w:color w:val="auto"/>
                <w:szCs w:val="21"/>
                <w:highlight w:val="none"/>
              </w:rPr>
              <w:t>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3</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不予退还</w:t>
            </w:r>
            <w:r>
              <w:rPr>
                <w:rFonts w:hint="eastAsia"/>
                <w:color w:val="auto"/>
                <w:szCs w:val="21"/>
                <w:highlight w:val="none"/>
              </w:rPr>
              <w:t>谈判</w:t>
            </w:r>
            <w:r>
              <w:rPr>
                <w:color w:val="auto"/>
                <w:szCs w:val="21"/>
                <w:highlight w:val="none"/>
              </w:rPr>
              <w:t>保证金的情形</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供应商有下列情形之一的，</w:t>
            </w:r>
            <w:r>
              <w:rPr>
                <w:rFonts w:hint="eastAsia"/>
                <w:color w:val="auto"/>
                <w:szCs w:val="21"/>
                <w:highlight w:val="none"/>
              </w:rPr>
              <w:t>谈判</w:t>
            </w:r>
            <w:r>
              <w:rPr>
                <w:color w:val="auto"/>
                <w:szCs w:val="21"/>
                <w:highlight w:val="none"/>
              </w:rPr>
              <w:t>保证金将不予退还：</w:t>
            </w:r>
          </w:p>
          <w:p>
            <w:pPr>
              <w:spacing w:line="300" w:lineRule="exact"/>
              <w:jc w:val="left"/>
              <w:rPr>
                <w:color w:val="auto"/>
                <w:szCs w:val="21"/>
                <w:highlight w:val="none"/>
              </w:rPr>
            </w:pPr>
            <w:r>
              <w:rPr>
                <w:rFonts w:hint="eastAsia"/>
                <w:color w:val="auto"/>
                <w:szCs w:val="21"/>
                <w:highlight w:val="none"/>
              </w:rPr>
              <w:t>（1）</w:t>
            </w:r>
            <w:r>
              <w:rPr>
                <w:color w:val="auto"/>
                <w:szCs w:val="21"/>
                <w:highlight w:val="none"/>
              </w:rPr>
              <w:t>供应商在</w:t>
            </w:r>
            <w:r>
              <w:rPr>
                <w:rFonts w:hint="eastAsia"/>
                <w:color w:val="auto"/>
                <w:szCs w:val="21"/>
                <w:highlight w:val="none"/>
              </w:rPr>
              <w:t>响应有效期</w:t>
            </w:r>
            <w:r>
              <w:rPr>
                <w:color w:val="auto"/>
                <w:szCs w:val="21"/>
                <w:highlight w:val="none"/>
              </w:rPr>
              <w:t>内撤销</w:t>
            </w:r>
            <w:r>
              <w:rPr>
                <w:rFonts w:hint="eastAsia"/>
                <w:color w:val="auto"/>
                <w:szCs w:val="21"/>
                <w:highlight w:val="none"/>
              </w:rPr>
              <w:t>谈判</w:t>
            </w:r>
            <w:r>
              <w:rPr>
                <w:color w:val="auto"/>
                <w:szCs w:val="21"/>
                <w:highlight w:val="none"/>
              </w:rPr>
              <w:t>文件的；</w:t>
            </w:r>
          </w:p>
          <w:p>
            <w:pPr>
              <w:spacing w:line="300" w:lineRule="exact"/>
              <w:jc w:val="left"/>
              <w:rPr>
                <w:color w:val="auto"/>
                <w:szCs w:val="21"/>
                <w:highlight w:val="none"/>
              </w:rPr>
            </w:pPr>
            <w:r>
              <w:rPr>
                <w:rFonts w:hint="eastAsia"/>
                <w:color w:val="auto"/>
                <w:szCs w:val="21"/>
                <w:highlight w:val="none"/>
              </w:rPr>
              <w:t>（2）</w:t>
            </w:r>
            <w:r>
              <w:rPr>
                <w:color w:val="auto"/>
                <w:szCs w:val="21"/>
                <w:highlight w:val="none"/>
              </w:rPr>
              <w:t>供应商在</w:t>
            </w:r>
            <w:r>
              <w:rPr>
                <w:rFonts w:hint="eastAsia"/>
                <w:color w:val="auto"/>
                <w:szCs w:val="21"/>
                <w:highlight w:val="none"/>
              </w:rPr>
              <w:t>谈判</w:t>
            </w:r>
            <w:r>
              <w:rPr>
                <w:color w:val="auto"/>
                <w:szCs w:val="21"/>
                <w:highlight w:val="none"/>
              </w:rPr>
              <w:t>过程中弄虚作假，提供虚假材料的；</w:t>
            </w:r>
          </w:p>
          <w:p>
            <w:pPr>
              <w:spacing w:line="300" w:lineRule="exact"/>
              <w:jc w:val="left"/>
              <w:rPr>
                <w:color w:val="auto"/>
                <w:szCs w:val="21"/>
                <w:highlight w:val="none"/>
              </w:rPr>
            </w:pPr>
            <w:r>
              <w:rPr>
                <w:rFonts w:hint="eastAsia"/>
                <w:color w:val="auto"/>
                <w:szCs w:val="21"/>
                <w:highlight w:val="none"/>
              </w:rPr>
              <w:t>（3）成交供应商</w:t>
            </w:r>
            <w:r>
              <w:rPr>
                <w:color w:val="auto"/>
                <w:szCs w:val="21"/>
                <w:highlight w:val="none"/>
              </w:rPr>
              <w:t>无正当理由不与采购人签订合同的</w:t>
            </w:r>
            <w:r>
              <w:rPr>
                <w:rFonts w:hint="eastAsia"/>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left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14</w:t>
            </w:r>
          </w:p>
        </w:tc>
        <w:tc>
          <w:tcPr>
            <w:tcW w:w="1277" w:type="dxa"/>
            <w:tcBorders>
              <w:top w:val="single" w:color="auto" w:sz="4" w:space="0"/>
              <w:left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纸质响应文件的编制与递交</w:t>
            </w:r>
          </w:p>
        </w:tc>
        <w:tc>
          <w:tcPr>
            <w:tcW w:w="7228" w:type="dxa"/>
            <w:tcBorders>
              <w:top w:val="single" w:color="auto" w:sz="4" w:space="0"/>
              <w:left w:val="single" w:color="auto" w:sz="4" w:space="0"/>
              <w:right w:val="single" w:color="auto" w:sz="4" w:space="0"/>
            </w:tcBorders>
            <w:vAlign w:val="center"/>
          </w:tcPr>
          <w:p>
            <w:pPr>
              <w:autoSpaceDE w:val="0"/>
              <w:autoSpaceDN w:val="0"/>
              <w:jc w:val="left"/>
              <w:textAlignment w:val="bottom"/>
              <w:rPr>
                <w:color w:val="auto"/>
                <w:szCs w:val="21"/>
                <w:highlight w:val="none"/>
              </w:rPr>
            </w:pPr>
            <w:r>
              <w:rPr>
                <w:rFonts w:hint="eastAsia"/>
                <w:color w:val="auto"/>
                <w:szCs w:val="21"/>
                <w:highlight w:val="none"/>
              </w:rPr>
              <w:t>（1）响应文件形式：纸质响应文件</w:t>
            </w:r>
          </w:p>
          <w:p>
            <w:pPr>
              <w:autoSpaceDE w:val="0"/>
              <w:autoSpaceDN w:val="0"/>
              <w:jc w:val="left"/>
              <w:textAlignment w:val="bottom"/>
              <w:rPr>
                <w:color w:val="auto"/>
                <w:szCs w:val="21"/>
                <w:highlight w:val="none"/>
              </w:rPr>
            </w:pPr>
            <w:r>
              <w:rPr>
                <w:rFonts w:hint="eastAsia"/>
                <w:color w:val="auto"/>
                <w:szCs w:val="21"/>
                <w:highlight w:val="none"/>
              </w:rPr>
              <w:t>（2）纸质响应文件是根据谈判文件要求编制、打印并盖章的文件。</w:t>
            </w:r>
          </w:p>
          <w:p>
            <w:pPr>
              <w:autoSpaceDE w:val="0"/>
              <w:autoSpaceDN w:val="0"/>
              <w:jc w:val="left"/>
              <w:textAlignment w:val="bottom"/>
              <w:rPr>
                <w:color w:val="auto"/>
                <w:szCs w:val="21"/>
                <w:highlight w:val="none"/>
              </w:rPr>
            </w:pPr>
            <w:r>
              <w:rPr>
                <w:rFonts w:hint="eastAsia"/>
                <w:color w:val="auto"/>
                <w:szCs w:val="21"/>
                <w:highlight w:val="none"/>
              </w:rPr>
              <w:t>（3）纸质响应文件的编制：</w:t>
            </w:r>
          </w:p>
          <w:p>
            <w:pPr>
              <w:autoSpaceDE w:val="0"/>
              <w:autoSpaceDN w:val="0"/>
              <w:jc w:val="left"/>
              <w:textAlignment w:val="bottom"/>
              <w:rPr>
                <w:color w:val="auto"/>
                <w:szCs w:val="21"/>
                <w:highlight w:val="none"/>
              </w:rPr>
            </w:pPr>
            <w:r>
              <w:rPr>
                <w:rFonts w:hint="eastAsia"/>
                <w:b/>
                <w:bCs/>
                <w:color w:val="auto"/>
                <w:szCs w:val="21"/>
                <w:highlight w:val="none"/>
              </w:rPr>
              <w:t>纸质响应文件共需4份，其中正本1份，副本3份</w:t>
            </w:r>
            <w:r>
              <w:rPr>
                <w:rFonts w:hint="eastAsia"/>
                <w:color w:val="auto"/>
                <w:szCs w:val="21"/>
                <w:highlight w:val="none"/>
              </w:rPr>
              <w:t>。</w:t>
            </w:r>
          </w:p>
          <w:p>
            <w:pPr>
              <w:autoSpaceDE w:val="0"/>
              <w:autoSpaceDN w:val="0"/>
              <w:jc w:val="left"/>
              <w:textAlignment w:val="bottom"/>
              <w:rPr>
                <w:color w:val="auto"/>
                <w:szCs w:val="21"/>
                <w:highlight w:val="none"/>
              </w:rPr>
            </w:pPr>
            <w:r>
              <w:rPr>
                <w:rFonts w:hint="eastAsia"/>
                <w:color w:val="auto"/>
                <w:szCs w:val="21"/>
                <w:highlight w:val="none"/>
              </w:rPr>
              <w:t>编制要求：</w:t>
            </w:r>
          </w:p>
          <w:p>
            <w:pPr>
              <w:autoSpaceDE w:val="0"/>
              <w:autoSpaceDN w:val="0"/>
              <w:jc w:val="left"/>
              <w:textAlignment w:val="bottom"/>
              <w:rPr>
                <w:color w:val="auto"/>
                <w:szCs w:val="21"/>
                <w:highlight w:val="none"/>
              </w:rPr>
            </w:pPr>
            <w:r>
              <w:rPr>
                <w:rFonts w:hint="eastAsia"/>
                <w:color w:val="auto"/>
                <w:szCs w:val="21"/>
                <w:highlight w:val="none"/>
              </w:rPr>
              <w:t>①纸质响应文件应按第六章响应文件格式规定的目录及顺序编制，内容应完整。</w:t>
            </w:r>
          </w:p>
          <w:p>
            <w:pPr>
              <w:autoSpaceDE w:val="0"/>
              <w:autoSpaceDN w:val="0"/>
              <w:jc w:val="left"/>
              <w:textAlignment w:val="bottom"/>
              <w:rPr>
                <w:color w:val="auto"/>
                <w:szCs w:val="21"/>
                <w:highlight w:val="none"/>
              </w:rPr>
            </w:pPr>
            <w:r>
              <w:rPr>
                <w:rFonts w:hint="eastAsia"/>
                <w:color w:val="auto"/>
                <w:szCs w:val="21"/>
                <w:highlight w:val="none"/>
              </w:rPr>
              <w:t>②纸质响应文件正本需采用打印或用不褪色的墨水填写方式，副本可以使用正本复印件。</w:t>
            </w:r>
          </w:p>
          <w:p>
            <w:pPr>
              <w:autoSpaceDE w:val="0"/>
              <w:autoSpaceDN w:val="0"/>
              <w:jc w:val="left"/>
              <w:textAlignment w:val="bottom"/>
              <w:rPr>
                <w:color w:val="auto"/>
                <w:szCs w:val="21"/>
                <w:highlight w:val="none"/>
              </w:rPr>
            </w:pPr>
            <w:r>
              <w:rPr>
                <w:rFonts w:hint="eastAsia"/>
                <w:color w:val="auto"/>
                <w:szCs w:val="21"/>
                <w:highlight w:val="none"/>
              </w:rPr>
              <w:t>③正本与副本不一致时，以正本为准。不同语言的内容不一致的，以中文文本为准。</w:t>
            </w:r>
          </w:p>
          <w:p>
            <w:pPr>
              <w:autoSpaceDE w:val="0"/>
              <w:autoSpaceDN w:val="0"/>
              <w:jc w:val="left"/>
              <w:textAlignment w:val="bottom"/>
              <w:rPr>
                <w:color w:val="auto"/>
                <w:szCs w:val="21"/>
                <w:highlight w:val="none"/>
              </w:rPr>
            </w:pPr>
            <w:r>
              <w:rPr>
                <w:rFonts w:hint="eastAsia"/>
                <w:color w:val="auto"/>
                <w:szCs w:val="21"/>
                <w:highlight w:val="none"/>
              </w:rPr>
              <w:t>④纸质响应文件须由供应商在规定位置盖章并由法定代表人或法定代表人的授权委托人签署，供应商应写全称。</w:t>
            </w:r>
          </w:p>
          <w:p>
            <w:pPr>
              <w:spacing w:line="300" w:lineRule="exact"/>
              <w:jc w:val="left"/>
              <w:rPr>
                <w:color w:val="auto"/>
                <w:szCs w:val="21"/>
                <w:highlight w:val="none"/>
              </w:rPr>
            </w:pPr>
            <w:r>
              <w:rPr>
                <w:rFonts w:hint="eastAsia"/>
                <w:color w:val="auto"/>
                <w:szCs w:val="21"/>
                <w:highlight w:val="none"/>
              </w:rPr>
              <w:t>⑤纸质响应文件不得涂改，若有修改处，须加盖单位公章或者法定代表人或授权委托人签字或盖章。</w:t>
            </w:r>
          </w:p>
          <w:p>
            <w:pPr>
              <w:spacing w:line="300" w:lineRule="exact"/>
              <w:jc w:val="left"/>
              <w:rPr>
                <w:color w:val="auto"/>
                <w:szCs w:val="21"/>
                <w:highlight w:val="none"/>
              </w:rPr>
            </w:pPr>
            <w:r>
              <w:rPr>
                <w:rFonts w:hint="eastAsia"/>
                <w:color w:val="auto"/>
                <w:szCs w:val="21"/>
                <w:highlight w:val="none"/>
              </w:rPr>
              <w:t>⑥纸质响应文件每册装订应牢固、不易拆散和换页，不得采用活页装订。</w:t>
            </w:r>
          </w:p>
          <w:p>
            <w:pPr>
              <w:spacing w:line="300" w:lineRule="exact"/>
              <w:jc w:val="left"/>
              <w:rPr>
                <w:b/>
                <w:bCs/>
                <w:color w:val="auto"/>
                <w:szCs w:val="21"/>
                <w:highlight w:val="none"/>
              </w:rPr>
            </w:pPr>
            <w:r>
              <w:rPr>
                <w:rFonts w:hint="eastAsia"/>
                <w:b/>
                <w:bCs/>
                <w:color w:val="auto"/>
                <w:szCs w:val="21"/>
                <w:highlight w:val="none"/>
              </w:rPr>
              <w:t>⑦提交纸质响应文件时，需同时提交与响应文件正本一致的U盘</w:t>
            </w:r>
            <w:r>
              <w:rPr>
                <w:rFonts w:ascii="Arial" w:hAnsi="Arial" w:cs="Arial"/>
                <w:b/>
                <w:bCs/>
                <w:color w:val="auto"/>
                <w:highlight w:val="none"/>
              </w:rPr>
              <w:t>（需为正本签字盖章后的扫描件）</w:t>
            </w:r>
            <w:r>
              <w:rPr>
                <w:rFonts w:hint="eastAsia"/>
                <w:b/>
                <w:bCs/>
                <w:color w:val="auto"/>
                <w:szCs w:val="21"/>
                <w:highlight w:val="none"/>
              </w:rPr>
              <w:t>。</w:t>
            </w:r>
          </w:p>
          <w:p>
            <w:pPr>
              <w:spacing w:line="300" w:lineRule="exact"/>
              <w:jc w:val="left"/>
              <w:rPr>
                <w:color w:val="auto"/>
                <w:szCs w:val="21"/>
                <w:highlight w:val="none"/>
              </w:rPr>
            </w:pPr>
            <w:r>
              <w:rPr>
                <w:rFonts w:hint="eastAsia"/>
                <w:color w:val="auto"/>
                <w:highlight w:val="none"/>
              </w:rPr>
              <w:t>（</w:t>
            </w:r>
            <w:r>
              <w:rPr>
                <w:color w:val="auto"/>
                <w:highlight w:val="none"/>
              </w:rPr>
              <w:t>4</w:t>
            </w:r>
            <w:r>
              <w:rPr>
                <w:rFonts w:hint="eastAsia"/>
                <w:color w:val="auto"/>
                <w:highlight w:val="none"/>
              </w:rPr>
              <w:t>）</w:t>
            </w:r>
            <w:r>
              <w:rPr>
                <w:rFonts w:hint="eastAsia"/>
                <w:color w:val="auto"/>
                <w:szCs w:val="21"/>
                <w:highlight w:val="none"/>
              </w:rPr>
              <w:t>包装要求：</w:t>
            </w:r>
          </w:p>
          <w:p>
            <w:pPr>
              <w:spacing w:line="300" w:lineRule="exact"/>
              <w:jc w:val="left"/>
              <w:rPr>
                <w:color w:val="auto"/>
                <w:highlight w:val="none"/>
              </w:rPr>
            </w:pPr>
            <w:r>
              <w:rPr>
                <w:rFonts w:hint="eastAsia"/>
                <w:color w:val="auto"/>
                <w:szCs w:val="21"/>
                <w:highlight w:val="none"/>
              </w:rPr>
              <w:t>①所有文件应包装为一个总密封袋，包括：</w:t>
            </w:r>
            <w:r>
              <w:rPr>
                <w:color w:val="auto"/>
                <w:highlight w:val="none"/>
              </w:rPr>
              <w:t>纸质</w:t>
            </w:r>
            <w:r>
              <w:rPr>
                <w:rFonts w:hint="eastAsia"/>
                <w:color w:val="auto"/>
                <w:highlight w:val="none"/>
              </w:rPr>
              <w:t>响应</w:t>
            </w:r>
            <w:r>
              <w:rPr>
                <w:color w:val="auto"/>
                <w:highlight w:val="none"/>
              </w:rPr>
              <w:t>文件</w:t>
            </w:r>
            <w:r>
              <w:rPr>
                <w:rFonts w:hint="eastAsia"/>
                <w:color w:val="auto"/>
                <w:highlight w:val="none"/>
              </w:rPr>
              <w:t>正副本；</w:t>
            </w:r>
            <w:bookmarkStart w:id="14" w:name="_Hlk34293272"/>
            <w:r>
              <w:rPr>
                <w:rFonts w:hint="eastAsia"/>
                <w:color w:val="auto"/>
                <w:highlight w:val="none"/>
              </w:rPr>
              <w:t>单独密封文件的密封袋。</w:t>
            </w:r>
          </w:p>
          <w:bookmarkEnd w:id="14"/>
          <w:p>
            <w:pPr>
              <w:spacing w:line="300" w:lineRule="exact"/>
              <w:jc w:val="left"/>
              <w:rPr>
                <w:color w:val="auto"/>
                <w:highlight w:val="none"/>
              </w:rPr>
            </w:pPr>
            <w:r>
              <w:rPr>
                <w:rFonts w:hint="eastAsia"/>
                <w:color w:val="auto"/>
                <w:highlight w:val="none"/>
              </w:rPr>
              <w:t>②需要单独密封的文件：</w:t>
            </w:r>
            <w:r>
              <w:rPr>
                <w:rFonts w:hint="eastAsia"/>
                <w:color w:val="auto"/>
                <w:szCs w:val="21"/>
                <w:highlight w:val="none"/>
              </w:rPr>
              <w:t>响应文件</w:t>
            </w:r>
            <w:r>
              <w:rPr>
                <w:rFonts w:hint="eastAsia"/>
                <w:color w:val="auto"/>
                <w:highlight w:val="none"/>
              </w:rPr>
              <w:t>U盘</w:t>
            </w:r>
            <w:r>
              <w:rPr>
                <w:rFonts w:hint="eastAsia"/>
                <w:color w:val="auto"/>
                <w:szCs w:val="21"/>
                <w:highlight w:val="none"/>
              </w:rPr>
              <w:t>，</w:t>
            </w:r>
            <w:r>
              <w:rPr>
                <w:rFonts w:hint="eastAsia"/>
                <w:color w:val="auto"/>
                <w:highlight w:val="none"/>
              </w:rPr>
              <w:t>声明函1份。单独密封的文件需要各自</w:t>
            </w:r>
            <w:r>
              <w:rPr>
                <w:color w:val="auto"/>
                <w:highlight w:val="none"/>
              </w:rPr>
              <w:t>先放入一个单独的密封袋中，然后</w:t>
            </w:r>
            <w:r>
              <w:rPr>
                <w:rFonts w:hint="eastAsia"/>
                <w:color w:val="auto"/>
                <w:highlight w:val="none"/>
              </w:rPr>
              <w:t>再与其他文件一起</w:t>
            </w:r>
            <w:r>
              <w:rPr>
                <w:color w:val="auto"/>
                <w:highlight w:val="none"/>
              </w:rPr>
              <w:t>放入</w:t>
            </w:r>
            <w:r>
              <w:rPr>
                <w:rFonts w:hint="eastAsia"/>
                <w:color w:val="auto"/>
                <w:highlight w:val="none"/>
              </w:rPr>
              <w:t>总</w:t>
            </w:r>
            <w:r>
              <w:rPr>
                <w:color w:val="auto"/>
                <w:highlight w:val="none"/>
              </w:rPr>
              <w:t>密封袋。</w:t>
            </w:r>
          </w:p>
          <w:p>
            <w:pPr>
              <w:spacing w:line="300" w:lineRule="exact"/>
              <w:jc w:val="left"/>
              <w:rPr>
                <w:color w:val="auto"/>
                <w:szCs w:val="21"/>
                <w:highlight w:val="none"/>
              </w:rPr>
            </w:pPr>
            <w:r>
              <w:rPr>
                <w:rFonts w:hint="eastAsia"/>
                <w:color w:val="auto"/>
                <w:szCs w:val="21"/>
                <w:highlight w:val="none"/>
              </w:rPr>
              <w:t>③总密封袋密封后应保证响应文件内容不外露。</w:t>
            </w:r>
          </w:p>
          <w:p>
            <w:pPr>
              <w:spacing w:line="300" w:lineRule="exact"/>
              <w:jc w:val="left"/>
              <w:rPr>
                <w:color w:val="auto"/>
                <w:szCs w:val="21"/>
                <w:highlight w:val="none"/>
              </w:rPr>
            </w:pPr>
            <w:r>
              <w:rPr>
                <w:rFonts w:hint="eastAsia"/>
                <w:color w:val="auto"/>
                <w:szCs w:val="21"/>
                <w:highlight w:val="none"/>
              </w:rPr>
              <w:t>④总密封袋及单独密封袋的封面标识详见第六章响应文件格式要求，并加盖供应商公章。封贴处须盖章（公章或密封章）或法定代表人或其授权代表签字。</w:t>
            </w:r>
          </w:p>
          <w:p>
            <w:pPr>
              <w:spacing w:line="300" w:lineRule="exact"/>
              <w:jc w:val="left"/>
              <w:rPr>
                <w:color w:val="auto"/>
                <w:szCs w:val="21"/>
                <w:highlight w:val="none"/>
              </w:rPr>
            </w:pPr>
            <w:r>
              <w:rPr>
                <w:rFonts w:hint="eastAsia"/>
                <w:color w:val="auto"/>
                <w:szCs w:val="21"/>
                <w:highlight w:val="none"/>
              </w:rPr>
              <w:t>未按上述要求编制或密封的纸质响应文件，为无效纸质响应文件。</w:t>
            </w:r>
          </w:p>
          <w:p>
            <w:pPr>
              <w:spacing w:line="300" w:lineRule="exact"/>
              <w:jc w:val="left"/>
              <w:rPr>
                <w:color w:val="auto"/>
                <w:szCs w:val="21"/>
                <w:highlight w:val="none"/>
              </w:rPr>
            </w:pPr>
            <w:r>
              <w:rPr>
                <w:rFonts w:hint="eastAsia"/>
                <w:color w:val="auto"/>
                <w:szCs w:val="21"/>
                <w:highlight w:val="none"/>
              </w:rPr>
              <w:t>（5）纸质响应文件递交要求：</w:t>
            </w:r>
          </w:p>
          <w:p>
            <w:pPr>
              <w:spacing w:line="300" w:lineRule="exact"/>
              <w:jc w:val="left"/>
              <w:rPr>
                <w:color w:val="auto"/>
                <w:szCs w:val="21"/>
                <w:highlight w:val="none"/>
              </w:rPr>
            </w:pPr>
            <w:r>
              <w:rPr>
                <w:rFonts w:hint="eastAsia"/>
                <w:color w:val="auto"/>
                <w:szCs w:val="21"/>
                <w:highlight w:val="none"/>
              </w:rPr>
              <w:t>①</w:t>
            </w:r>
            <w:r>
              <w:rPr>
                <w:color w:val="auto"/>
                <w:szCs w:val="21"/>
                <w:highlight w:val="none"/>
              </w:rPr>
              <w:t>递交地点：</w:t>
            </w:r>
            <w:r>
              <w:rPr>
                <w:rFonts w:hint="eastAsia"/>
                <w:color w:val="auto"/>
                <w:kern w:val="0"/>
                <w:szCs w:val="21"/>
                <w:highlight w:val="none"/>
              </w:rPr>
              <w:t>见谈判公告要求</w:t>
            </w:r>
            <w:r>
              <w:rPr>
                <w:color w:val="auto"/>
                <w:szCs w:val="21"/>
                <w:highlight w:val="none"/>
              </w:rPr>
              <w:t>。</w:t>
            </w:r>
          </w:p>
          <w:p>
            <w:pPr>
              <w:spacing w:line="360" w:lineRule="exact"/>
              <w:jc w:val="left"/>
              <w:rPr>
                <w:rFonts w:ascii="Arial" w:hAnsi="Arial" w:cs="Arial"/>
                <w:color w:val="auto"/>
                <w:szCs w:val="21"/>
                <w:highlight w:val="none"/>
              </w:rPr>
            </w:pPr>
            <w:r>
              <w:rPr>
                <w:rFonts w:hint="eastAsia"/>
                <w:color w:val="auto"/>
                <w:szCs w:val="21"/>
                <w:highlight w:val="none"/>
              </w:rPr>
              <w:t>②递交方式：</w:t>
            </w:r>
            <w:r>
              <w:rPr>
                <w:rFonts w:ascii="Arial" w:hAnsi="Arial" w:cs="Arial"/>
                <w:color w:val="auto"/>
                <w:szCs w:val="21"/>
                <w:highlight w:val="none"/>
              </w:rPr>
              <w:t>现场送达，不接受传真、电子邮件方式送达的响应文件。</w:t>
            </w:r>
          </w:p>
          <w:p>
            <w:pPr>
              <w:spacing w:line="360" w:lineRule="exact"/>
              <w:jc w:val="left"/>
              <w:rPr>
                <w:rFonts w:ascii="Arial" w:hAnsi="Arial" w:cs="Arial"/>
                <w:color w:val="auto"/>
                <w:szCs w:val="21"/>
                <w:highlight w:val="none"/>
              </w:rPr>
            </w:pPr>
            <w:r>
              <w:rPr>
                <w:rFonts w:ascii="Arial" w:hAnsi="Arial" w:cs="Arial"/>
                <w:color w:val="auto"/>
                <w:szCs w:val="21"/>
                <w:highlight w:val="none"/>
              </w:rPr>
              <w:t>供应商应于响应文件递交截止时间前将纸质响应文件密封并递交至上述递交地点。</w:t>
            </w:r>
          </w:p>
          <w:p>
            <w:pPr>
              <w:spacing w:line="360" w:lineRule="exact"/>
              <w:jc w:val="left"/>
              <w:rPr>
                <w:rFonts w:ascii="Arial" w:hAnsi="Arial" w:cs="Arial"/>
                <w:color w:val="auto"/>
                <w:szCs w:val="21"/>
                <w:highlight w:val="none"/>
              </w:rPr>
            </w:pPr>
            <w:r>
              <w:rPr>
                <w:rFonts w:ascii="Arial" w:hAnsi="Arial" w:cs="Arial"/>
                <w:color w:val="auto"/>
                <w:szCs w:val="21"/>
                <w:highlight w:val="none"/>
              </w:rPr>
              <w:t>逾期送达（以签收时间为准）或未密封的纸质响应文件将予以拒收。</w:t>
            </w:r>
          </w:p>
          <w:p>
            <w:pPr>
              <w:autoSpaceDE w:val="0"/>
              <w:autoSpaceDN w:val="0"/>
              <w:spacing w:line="360" w:lineRule="exact"/>
              <w:jc w:val="left"/>
              <w:textAlignment w:val="bottom"/>
              <w:rPr>
                <w:color w:val="auto"/>
                <w:szCs w:val="21"/>
                <w:highlight w:val="none"/>
              </w:rPr>
            </w:pPr>
            <w:r>
              <w:rPr>
                <w:rFonts w:ascii="Arial" w:hAnsi="Arial" w:cs="Arial"/>
                <w:color w:val="auto"/>
                <w:szCs w:val="21"/>
                <w:highlight w:val="none"/>
              </w:rPr>
              <w:t>纸质响应文件递交地点：详见采购公告采购代理机构联系信息。</w:t>
            </w:r>
          </w:p>
          <w:p>
            <w:pPr>
              <w:autoSpaceDE w:val="0"/>
              <w:autoSpaceDN w:val="0"/>
              <w:jc w:val="left"/>
              <w:textAlignment w:val="bottom"/>
              <w:rPr>
                <w:color w:val="auto"/>
                <w:szCs w:val="21"/>
                <w:highlight w:val="none"/>
              </w:rPr>
            </w:pPr>
            <w:r>
              <w:rPr>
                <w:rFonts w:hint="eastAsia"/>
                <w:color w:val="auto"/>
                <w:szCs w:val="21"/>
                <w:highlight w:val="none"/>
              </w:rPr>
              <w:t>（6）纸质响应文件的修改和撤回：</w:t>
            </w:r>
          </w:p>
          <w:p>
            <w:pPr>
              <w:spacing w:line="360" w:lineRule="exact"/>
              <w:jc w:val="left"/>
              <w:rPr>
                <w:rFonts w:ascii="Arial" w:hAnsi="Arial" w:cs="Arial"/>
                <w:color w:val="auto"/>
                <w:szCs w:val="21"/>
                <w:highlight w:val="none"/>
              </w:rPr>
            </w:pPr>
            <w:r>
              <w:rPr>
                <w:rFonts w:ascii="Arial" w:hAnsi="Arial" w:cs="Arial"/>
                <w:color w:val="auto"/>
                <w:szCs w:val="21"/>
                <w:highlight w:val="none"/>
              </w:rPr>
              <w:t>供应商修改或撤回响应的要求均以纸质修改或撤回文件为准，修改响应文件后应按上述纸质响应文件要求重新编制、包装并递交纸质响应文件。</w:t>
            </w:r>
          </w:p>
          <w:p>
            <w:pPr>
              <w:autoSpaceDE w:val="0"/>
              <w:autoSpaceDN w:val="0"/>
              <w:jc w:val="left"/>
              <w:textAlignment w:val="bottom"/>
              <w:rPr>
                <w:color w:val="auto"/>
                <w:szCs w:val="21"/>
                <w:highlight w:val="none"/>
              </w:rPr>
            </w:pPr>
            <w:r>
              <w:rPr>
                <w:rFonts w:ascii="Arial" w:hAnsi="Arial" w:cs="Arial"/>
                <w:color w:val="auto"/>
                <w:szCs w:val="21"/>
                <w:highlight w:val="none"/>
              </w:rPr>
              <w:t>响应文件递交截止时间后，供应商不得修改、撤回响应文件。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15</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响应文件递交</w:t>
            </w:r>
            <w:r>
              <w:rPr>
                <w:rFonts w:hint="eastAsia"/>
                <w:color w:val="auto"/>
                <w:szCs w:val="21"/>
                <w:highlight w:val="none"/>
              </w:rPr>
              <w:t>截止</w:t>
            </w:r>
            <w:r>
              <w:rPr>
                <w:color w:val="auto"/>
                <w:szCs w:val="21"/>
                <w:highlight w:val="none"/>
              </w:rPr>
              <w:t>时间及截标时间</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kern w:val="0"/>
                <w:szCs w:val="21"/>
                <w:highlight w:val="none"/>
              </w:rPr>
              <w:t>见谈判公告要求</w:t>
            </w:r>
            <w:r>
              <w:rPr>
                <w:rFonts w:hint="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1</w:t>
            </w:r>
            <w:r>
              <w:rPr>
                <w:b/>
                <w:color w:val="auto"/>
                <w:szCs w:val="21"/>
                <w:highlight w:val="none"/>
              </w:rPr>
              <w:t>6</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截标会议</w:t>
            </w:r>
          </w:p>
        </w:tc>
        <w:tc>
          <w:tcPr>
            <w:tcW w:w="7228" w:type="dxa"/>
            <w:tcBorders>
              <w:top w:val="single" w:color="auto" w:sz="4" w:space="0"/>
              <w:left w:val="single" w:color="auto" w:sz="4" w:space="0"/>
              <w:bottom w:val="single" w:color="auto" w:sz="4" w:space="0"/>
              <w:right w:val="single" w:color="auto" w:sz="4" w:space="0"/>
            </w:tcBorders>
            <w:vAlign w:val="center"/>
          </w:tcPr>
          <w:p>
            <w:pPr>
              <w:pStyle w:val="16"/>
              <w:rPr>
                <w:rFonts w:ascii="Arial" w:hAnsi="Arial" w:cs="Arial"/>
                <w:color w:val="auto"/>
                <w:kern w:val="0"/>
                <w:szCs w:val="21"/>
                <w:highlight w:val="none"/>
              </w:rPr>
            </w:pPr>
            <w:r>
              <w:rPr>
                <w:rFonts w:hint="eastAsia"/>
                <w:color w:val="auto"/>
                <w:szCs w:val="21"/>
                <w:highlight w:val="none"/>
              </w:rPr>
              <w:t>（</w:t>
            </w:r>
            <w:r>
              <w:rPr>
                <w:color w:val="auto"/>
                <w:szCs w:val="21"/>
                <w:highlight w:val="none"/>
              </w:rPr>
              <w:t>1</w:t>
            </w:r>
            <w:r>
              <w:rPr>
                <w:rFonts w:hint="eastAsia"/>
                <w:color w:val="auto"/>
                <w:szCs w:val="21"/>
                <w:highlight w:val="none"/>
              </w:rPr>
              <w:t>）参加方式：现场参加</w:t>
            </w:r>
          </w:p>
          <w:p>
            <w:pPr>
              <w:spacing w:line="300" w:lineRule="exact"/>
              <w:jc w:val="left"/>
              <w:rPr>
                <w:color w:val="auto"/>
                <w:szCs w:val="21"/>
                <w:highlight w:val="none"/>
              </w:rPr>
            </w:pPr>
            <w:r>
              <w:rPr>
                <w:rFonts w:hint="eastAsia"/>
                <w:color w:val="auto"/>
                <w:szCs w:val="21"/>
                <w:highlight w:val="none"/>
              </w:rPr>
              <w:t>（2）参加人员要求：</w:t>
            </w:r>
          </w:p>
          <w:p>
            <w:pPr>
              <w:spacing w:line="300" w:lineRule="exact"/>
              <w:jc w:val="left"/>
              <w:rPr>
                <w:color w:val="auto"/>
                <w:szCs w:val="21"/>
                <w:highlight w:val="none"/>
              </w:rPr>
            </w:pPr>
            <w:r>
              <w:rPr>
                <w:rFonts w:hint="eastAsia"/>
                <w:color w:val="auto"/>
                <w:szCs w:val="21"/>
                <w:highlight w:val="none"/>
              </w:rPr>
              <w:t>①供应商</w:t>
            </w:r>
            <w:r>
              <w:rPr>
                <w:rFonts w:hint="eastAsia" w:ascii="Arial" w:hAnsi="Arial" w:cs="Arial"/>
                <w:color w:val="auto"/>
                <w:kern w:val="0"/>
                <w:szCs w:val="21"/>
                <w:highlight w:val="none"/>
              </w:rPr>
              <w:t>仅能</w:t>
            </w:r>
            <w:r>
              <w:rPr>
                <w:rFonts w:hint="eastAsia"/>
                <w:color w:val="auto"/>
                <w:szCs w:val="21"/>
                <w:highlight w:val="none"/>
              </w:rPr>
              <w:t>选</w:t>
            </w:r>
            <w:r>
              <w:rPr>
                <w:color w:val="auto"/>
                <w:szCs w:val="21"/>
                <w:highlight w:val="none"/>
              </w:rPr>
              <w:t>派</w:t>
            </w:r>
            <w:r>
              <w:rPr>
                <w:rFonts w:hint="eastAsia"/>
                <w:color w:val="auto"/>
                <w:szCs w:val="21"/>
                <w:highlight w:val="none"/>
              </w:rPr>
              <w:t>一名</w:t>
            </w:r>
            <w:r>
              <w:rPr>
                <w:color w:val="auto"/>
                <w:szCs w:val="21"/>
                <w:highlight w:val="none"/>
              </w:rPr>
              <w:t>授权代表</w:t>
            </w:r>
            <w:r>
              <w:rPr>
                <w:rFonts w:hint="eastAsia"/>
                <w:color w:val="auto"/>
                <w:szCs w:val="21"/>
                <w:highlight w:val="none"/>
              </w:rPr>
              <w:t>（</w:t>
            </w:r>
            <w:r>
              <w:rPr>
                <w:color w:val="auto"/>
                <w:szCs w:val="21"/>
                <w:highlight w:val="none"/>
              </w:rPr>
              <w:t>或法定代表人</w:t>
            </w:r>
            <w:r>
              <w:rPr>
                <w:rFonts w:hint="eastAsia"/>
                <w:color w:val="auto"/>
                <w:szCs w:val="21"/>
                <w:highlight w:val="none"/>
              </w:rPr>
              <w:t>）</w:t>
            </w:r>
            <w:r>
              <w:rPr>
                <w:color w:val="auto"/>
                <w:szCs w:val="21"/>
                <w:highlight w:val="none"/>
              </w:rPr>
              <w:t>持有效证件</w:t>
            </w:r>
            <w:r>
              <w:rPr>
                <w:rFonts w:hint="eastAsia" w:ascii="Arial" w:hAnsi="Arial" w:cs="Arial"/>
                <w:b/>
                <w:bCs/>
                <w:color w:val="auto"/>
                <w:szCs w:val="21"/>
                <w:highlight w:val="none"/>
              </w:rPr>
              <w:t>（</w:t>
            </w:r>
            <w:r>
              <w:rPr>
                <w:b/>
                <w:bCs/>
                <w:color w:val="auto"/>
                <w:szCs w:val="21"/>
                <w:highlight w:val="none"/>
              </w:rPr>
              <w:t>法定代表人</w:t>
            </w:r>
            <w:r>
              <w:rPr>
                <w:rFonts w:hint="eastAsia"/>
                <w:b/>
                <w:bCs/>
                <w:color w:val="auto"/>
                <w:szCs w:val="21"/>
                <w:highlight w:val="none"/>
              </w:rPr>
              <w:t>持</w:t>
            </w:r>
            <w:r>
              <w:rPr>
                <w:b/>
                <w:bCs/>
                <w:color w:val="auto"/>
                <w:szCs w:val="21"/>
                <w:highlight w:val="none"/>
              </w:rPr>
              <w:t>身份证</w:t>
            </w:r>
            <w:r>
              <w:rPr>
                <w:rFonts w:hint="eastAsia"/>
                <w:b/>
                <w:bCs/>
                <w:color w:val="auto"/>
                <w:szCs w:val="21"/>
                <w:highlight w:val="none"/>
              </w:rPr>
              <w:t>原件及营业执照复印件或</w:t>
            </w:r>
            <w:r>
              <w:rPr>
                <w:b/>
                <w:bCs/>
                <w:color w:val="auto"/>
                <w:szCs w:val="21"/>
                <w:highlight w:val="none"/>
              </w:rPr>
              <w:t>委托代理人</w:t>
            </w:r>
            <w:r>
              <w:rPr>
                <w:rFonts w:hint="eastAsia"/>
                <w:b/>
                <w:bCs/>
                <w:color w:val="auto"/>
                <w:szCs w:val="21"/>
                <w:highlight w:val="none"/>
              </w:rPr>
              <w:t>持</w:t>
            </w:r>
            <w:r>
              <w:rPr>
                <w:b/>
                <w:bCs/>
                <w:color w:val="auto"/>
                <w:szCs w:val="21"/>
                <w:highlight w:val="none"/>
              </w:rPr>
              <w:t>身份证</w:t>
            </w:r>
            <w:r>
              <w:rPr>
                <w:rFonts w:hint="eastAsia"/>
                <w:b/>
                <w:bCs/>
                <w:color w:val="auto"/>
                <w:szCs w:val="21"/>
                <w:highlight w:val="none"/>
              </w:rPr>
              <w:t>原件、</w:t>
            </w:r>
            <w:r>
              <w:rPr>
                <w:b/>
                <w:bCs/>
                <w:color w:val="auto"/>
                <w:szCs w:val="21"/>
                <w:highlight w:val="none"/>
              </w:rPr>
              <w:t>法定代表人授权书</w:t>
            </w:r>
            <w:r>
              <w:rPr>
                <w:rFonts w:hint="eastAsia"/>
                <w:b/>
                <w:bCs/>
                <w:color w:val="auto"/>
                <w:szCs w:val="21"/>
                <w:highlight w:val="none"/>
              </w:rPr>
              <w:t>原件）</w:t>
            </w:r>
            <w:r>
              <w:rPr>
                <w:color w:val="auto"/>
                <w:szCs w:val="21"/>
                <w:highlight w:val="none"/>
              </w:rPr>
              <w:t>参加。授权代表参加的，采购人或采购代理机构将核对授权代表身份证原件与法定代表人授权委托书上授权代表姓名是否一致，授权委托书格式见第六章；法定代表人参加的，采购人或采购代理机构将核对法定代表人身份证原件与法定代表人身份证明原件上姓名是否一致，法人身份证明格式见第六章。如姓名不一致的或未按要求签字加盖公章的，将被拒绝参加截标会议并不得对截标结果提出异议。被拒绝参加截标会议的人员所递交的</w:t>
            </w:r>
            <w:r>
              <w:rPr>
                <w:rFonts w:hint="eastAsia"/>
                <w:color w:val="auto"/>
                <w:szCs w:val="21"/>
                <w:highlight w:val="none"/>
              </w:rPr>
              <w:t>纸质响应</w:t>
            </w:r>
            <w:r>
              <w:rPr>
                <w:color w:val="auto"/>
                <w:szCs w:val="21"/>
                <w:highlight w:val="none"/>
              </w:rPr>
              <w:t>文件符合</w:t>
            </w:r>
            <w:r>
              <w:rPr>
                <w:rFonts w:hint="eastAsia"/>
                <w:color w:val="auto"/>
                <w:szCs w:val="21"/>
                <w:highlight w:val="none"/>
              </w:rPr>
              <w:t>谈判</w:t>
            </w:r>
            <w:r>
              <w:rPr>
                <w:color w:val="auto"/>
                <w:szCs w:val="21"/>
                <w:highlight w:val="none"/>
              </w:rPr>
              <w:t>文件要求的，</w:t>
            </w:r>
            <w:r>
              <w:rPr>
                <w:rFonts w:hint="eastAsia"/>
                <w:color w:val="auto"/>
                <w:szCs w:val="21"/>
                <w:highlight w:val="none"/>
              </w:rPr>
              <w:t>文件</w:t>
            </w:r>
            <w:r>
              <w:rPr>
                <w:color w:val="auto"/>
                <w:szCs w:val="21"/>
                <w:highlight w:val="none"/>
              </w:rPr>
              <w:t>予</w:t>
            </w:r>
            <w:r>
              <w:rPr>
                <w:rFonts w:hint="eastAsia"/>
                <w:color w:val="auto"/>
                <w:szCs w:val="21"/>
                <w:highlight w:val="none"/>
              </w:rPr>
              <w:t>以</w:t>
            </w:r>
            <w:r>
              <w:rPr>
                <w:color w:val="auto"/>
                <w:szCs w:val="21"/>
                <w:highlight w:val="none"/>
              </w:rPr>
              <w:t>接收。</w:t>
            </w:r>
          </w:p>
          <w:p>
            <w:pPr>
              <w:spacing w:line="300" w:lineRule="exact"/>
              <w:jc w:val="left"/>
              <w:rPr>
                <w:color w:val="auto"/>
                <w:kern w:val="0"/>
                <w:szCs w:val="21"/>
                <w:highlight w:val="none"/>
              </w:rPr>
            </w:pPr>
            <w:r>
              <w:rPr>
                <w:rFonts w:hint="eastAsia"/>
                <w:color w:val="auto"/>
                <w:kern w:val="0"/>
                <w:szCs w:val="21"/>
                <w:highlight w:val="none"/>
              </w:rPr>
              <w:t>②供应商到现场参加会议</w:t>
            </w:r>
          </w:p>
          <w:p>
            <w:pPr>
              <w:spacing w:line="300" w:lineRule="exact"/>
              <w:jc w:val="left"/>
              <w:rPr>
                <w:color w:val="auto"/>
                <w:kern w:val="0"/>
                <w:szCs w:val="21"/>
                <w:highlight w:val="none"/>
              </w:rPr>
            </w:pPr>
            <w:r>
              <w:rPr>
                <w:rFonts w:hint="eastAsia"/>
                <w:color w:val="auto"/>
                <w:kern w:val="0"/>
                <w:szCs w:val="21"/>
                <w:highlight w:val="none"/>
              </w:rPr>
              <w:t>（</w:t>
            </w:r>
            <w:r>
              <w:rPr>
                <w:color w:val="auto"/>
                <w:kern w:val="0"/>
                <w:szCs w:val="21"/>
                <w:highlight w:val="none"/>
              </w:rPr>
              <w:t>3</w:t>
            </w:r>
            <w:r>
              <w:rPr>
                <w:rFonts w:hint="eastAsia"/>
                <w:color w:val="auto"/>
                <w:kern w:val="0"/>
                <w:szCs w:val="21"/>
                <w:highlight w:val="none"/>
              </w:rPr>
              <w:t>）截标程序：</w:t>
            </w:r>
          </w:p>
          <w:p>
            <w:pPr>
              <w:spacing w:line="300" w:lineRule="exact"/>
              <w:jc w:val="left"/>
              <w:rPr>
                <w:color w:val="auto"/>
                <w:kern w:val="0"/>
                <w:szCs w:val="21"/>
                <w:highlight w:val="none"/>
              </w:rPr>
            </w:pPr>
            <w:r>
              <w:rPr>
                <w:rFonts w:hint="eastAsia"/>
                <w:color w:val="auto"/>
                <w:kern w:val="0"/>
                <w:szCs w:val="21"/>
                <w:highlight w:val="none"/>
              </w:rPr>
              <w:t>①宣布截标；宣读截标纪律；宣布唱标人、记录人、监标人等有关人员名单；如有授权代表到现场参加截标会议，由采购人或采购代理机构检查授权代表的资格证件（包括身份证原件、授权委托书、</w:t>
            </w:r>
            <w:r>
              <w:rPr>
                <w:rFonts w:hint="eastAsia"/>
                <w:color w:val="auto"/>
                <w:szCs w:val="21"/>
                <w:highlight w:val="none"/>
              </w:rPr>
              <w:t>营业执照复印件</w:t>
            </w:r>
            <w:r>
              <w:rPr>
                <w:rFonts w:hint="eastAsia"/>
                <w:color w:val="auto"/>
                <w:kern w:val="0"/>
                <w:szCs w:val="21"/>
                <w:highlight w:val="none"/>
              </w:rPr>
              <w:t>）。</w:t>
            </w:r>
          </w:p>
          <w:p>
            <w:pPr>
              <w:spacing w:line="300" w:lineRule="exact"/>
              <w:jc w:val="left"/>
              <w:rPr>
                <w:color w:val="auto"/>
                <w:kern w:val="0"/>
                <w:szCs w:val="21"/>
                <w:highlight w:val="none"/>
              </w:rPr>
            </w:pPr>
            <w:r>
              <w:rPr>
                <w:rFonts w:hint="eastAsia"/>
                <w:color w:val="auto"/>
                <w:kern w:val="0"/>
                <w:szCs w:val="21"/>
                <w:highlight w:val="none"/>
              </w:rPr>
              <w:t>②公布截标前递交响应文件的供应商名单。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17</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谈判程序</w:t>
            </w:r>
          </w:p>
        </w:tc>
        <w:tc>
          <w:tcPr>
            <w:tcW w:w="722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kern w:val="0"/>
                <w:szCs w:val="21"/>
                <w:highlight w:val="none"/>
              </w:rPr>
            </w:pPr>
            <w:r>
              <w:rPr>
                <w:rFonts w:hint="eastAsia"/>
                <w:color w:val="auto"/>
                <w:szCs w:val="21"/>
                <w:highlight w:val="none"/>
              </w:rPr>
              <w:t>谈判</w:t>
            </w:r>
            <w:r>
              <w:rPr>
                <w:color w:val="auto"/>
                <w:szCs w:val="21"/>
                <w:highlight w:val="none"/>
              </w:rPr>
              <w:t>顺序：按实际评审情况。</w:t>
            </w:r>
          </w:p>
          <w:p>
            <w:pPr>
              <w:spacing w:line="300" w:lineRule="exact"/>
              <w:jc w:val="left"/>
              <w:rPr>
                <w:color w:val="auto"/>
                <w:szCs w:val="21"/>
                <w:highlight w:val="none"/>
              </w:rPr>
            </w:pPr>
            <w:r>
              <w:rPr>
                <w:rFonts w:hint="eastAsia"/>
                <w:color w:val="auto"/>
                <w:szCs w:val="21"/>
                <w:highlight w:val="none"/>
              </w:rPr>
              <w:t>谈判</w:t>
            </w:r>
            <w:r>
              <w:rPr>
                <w:color w:val="auto"/>
                <w:szCs w:val="21"/>
                <w:highlight w:val="none"/>
              </w:rPr>
              <w:t>小组在</w:t>
            </w:r>
            <w:r>
              <w:rPr>
                <w:rFonts w:hint="eastAsia"/>
                <w:color w:val="auto"/>
                <w:szCs w:val="21"/>
                <w:highlight w:val="none"/>
              </w:rPr>
              <w:t>谈判</w:t>
            </w:r>
            <w:r>
              <w:rPr>
                <w:color w:val="auto"/>
                <w:szCs w:val="21"/>
                <w:highlight w:val="none"/>
              </w:rPr>
              <w:t>中可能实质性变动的内容：采购需求中的技术、服务要求以及合同草案条款。</w:t>
            </w:r>
          </w:p>
          <w:p>
            <w:pPr>
              <w:spacing w:line="300" w:lineRule="exact"/>
              <w:jc w:val="left"/>
              <w:rPr>
                <w:color w:val="auto"/>
                <w:szCs w:val="21"/>
                <w:highlight w:val="none"/>
              </w:rPr>
            </w:pPr>
            <w:r>
              <w:rPr>
                <w:color w:val="auto"/>
                <w:szCs w:val="21"/>
                <w:highlight w:val="none"/>
              </w:rPr>
              <w:t>本项目所有响应文件的首次报价</w:t>
            </w:r>
            <w:r>
              <w:rPr>
                <w:rFonts w:hint="eastAsia"/>
                <w:color w:val="auto"/>
                <w:szCs w:val="21"/>
                <w:highlight w:val="none"/>
              </w:rPr>
              <w:t>及所有谈判报价</w:t>
            </w:r>
            <w:r>
              <w:rPr>
                <w:color w:val="auto"/>
                <w:szCs w:val="21"/>
                <w:highlight w:val="none"/>
              </w:rPr>
              <w:t>均不公布。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18</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确定成交供应商</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0052"/>
            </w:r>
            <w:r>
              <w:rPr>
                <w:rFonts w:hint="eastAsia"/>
                <w:color w:val="auto"/>
                <w:szCs w:val="21"/>
                <w:highlight w:val="none"/>
              </w:rPr>
              <w:t>采购人从评审委员会推荐的成交候选供应商名单中确定成交供应商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19</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成交</w:t>
            </w:r>
            <w:r>
              <w:rPr>
                <w:color w:val="auto"/>
                <w:szCs w:val="21"/>
                <w:highlight w:val="none"/>
              </w:rPr>
              <w:t>公告</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t>采购代理机构在采购人确认</w:t>
            </w:r>
            <w:r>
              <w:rPr>
                <w:rFonts w:hint="eastAsia"/>
                <w:color w:val="auto"/>
                <w:szCs w:val="21"/>
                <w:highlight w:val="none"/>
              </w:rPr>
              <w:t>成交供应商</w:t>
            </w:r>
            <w:r>
              <w:rPr>
                <w:color w:val="auto"/>
                <w:szCs w:val="21"/>
                <w:highlight w:val="none"/>
              </w:rPr>
              <w:t>后2个工作日内在</w:t>
            </w:r>
            <w:r>
              <w:rPr>
                <w:rFonts w:hint="eastAsia"/>
                <w:color w:val="auto"/>
                <w:szCs w:val="21"/>
                <w:highlight w:val="none"/>
              </w:rPr>
              <w:t>谈判</w:t>
            </w:r>
            <w:r>
              <w:rPr>
                <w:color w:val="auto"/>
                <w:szCs w:val="21"/>
                <w:highlight w:val="none"/>
              </w:rPr>
              <w:t>公告发布的媒体上发布</w:t>
            </w:r>
            <w:r>
              <w:rPr>
                <w:rFonts w:hint="eastAsia"/>
                <w:color w:val="auto"/>
                <w:szCs w:val="21"/>
                <w:highlight w:val="none"/>
              </w:rPr>
              <w:t>成交</w:t>
            </w:r>
            <w:r>
              <w:rPr>
                <w:color w:val="auto"/>
                <w:szCs w:val="21"/>
                <w:highlight w:val="none"/>
              </w:rPr>
              <w:t>公告</w:t>
            </w:r>
            <w:r>
              <w:rPr>
                <w:rFonts w:hint="eastAsia"/>
                <w:color w:val="auto"/>
                <w:szCs w:val="21"/>
                <w:highlight w:val="none"/>
              </w:rPr>
              <w:t>并发出成交</w:t>
            </w:r>
            <w:r>
              <w:rPr>
                <w:color w:val="auto"/>
                <w:szCs w:val="21"/>
                <w:highlight w:val="none"/>
              </w:rPr>
              <w:t>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20</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成交通知书</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color w:val="auto"/>
                <w:szCs w:val="21"/>
                <w:highlight w:val="none"/>
              </w:rPr>
              <w:sym w:font="Wingdings 2" w:char="00A3"/>
            </w:r>
            <w:r>
              <w:rPr>
                <w:rFonts w:hint="eastAsia"/>
                <w:color w:val="auto"/>
                <w:szCs w:val="21"/>
                <w:highlight w:val="none"/>
              </w:rPr>
              <w:t>成交供应商前往采购代理机构领取成交通知书</w:t>
            </w:r>
          </w:p>
          <w:p>
            <w:pPr>
              <w:spacing w:line="300" w:lineRule="exact"/>
              <w:jc w:val="left"/>
              <w:rPr>
                <w:color w:val="auto"/>
                <w:szCs w:val="21"/>
                <w:highlight w:val="none"/>
              </w:rPr>
            </w:pPr>
            <w:r>
              <w:rPr>
                <w:rFonts w:ascii="宋体" w:hAnsi="宋体"/>
                <w:color w:val="auto"/>
                <w:szCs w:val="21"/>
                <w:highlight w:val="none"/>
              </w:rPr>
              <w:sym w:font="Wingdings 2" w:char="0052"/>
            </w:r>
            <w:r>
              <w:rPr>
                <w:rFonts w:hint="eastAsia" w:ascii="宋体" w:hAnsi="宋体"/>
                <w:color w:val="auto"/>
                <w:szCs w:val="21"/>
                <w:highlight w:val="none"/>
              </w:rPr>
              <w:t>发送成交通知书至成交供应商邮箱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2</w:t>
            </w:r>
            <w:r>
              <w:rPr>
                <w:rFonts w:hint="eastAsia"/>
                <w:b/>
                <w:color w:val="auto"/>
                <w:szCs w:val="21"/>
                <w:highlight w:val="none"/>
              </w:rPr>
              <w:t>1</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合同签订及履行</w:t>
            </w:r>
          </w:p>
        </w:tc>
        <w:tc>
          <w:tcPr>
            <w:tcW w:w="7228"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auto"/>
                <w:szCs w:val="21"/>
                <w:highlight w:val="none"/>
              </w:rPr>
            </w:pPr>
            <w:r>
              <w:rPr>
                <w:rFonts w:ascii="Arial" w:hAnsi="Arial" w:cs="Arial"/>
                <w:color w:val="auto"/>
                <w:szCs w:val="21"/>
                <w:highlight w:val="none"/>
              </w:rPr>
              <w:t xml:space="preserve">（1）成交供应商拒绝与采购人签订合同的，采购人可以按照评审报告推荐的成交候选人名单排序，确定下一候选人为成交供应商，也可以重新开展采购活动。 </w:t>
            </w:r>
          </w:p>
          <w:p>
            <w:pPr>
              <w:rPr>
                <w:rFonts w:ascii="Arial" w:hAnsi="Arial" w:cs="Arial"/>
                <w:color w:val="auto"/>
                <w:szCs w:val="21"/>
                <w:highlight w:val="none"/>
              </w:rPr>
            </w:pPr>
            <w:r>
              <w:rPr>
                <w:rFonts w:ascii="Arial" w:hAnsi="Arial" w:cs="Arial"/>
                <w:color w:val="auto"/>
                <w:szCs w:val="21"/>
                <w:highlight w:val="none"/>
              </w:rPr>
              <w:t>（2）采购人应当自成交通知书发出之</w:t>
            </w:r>
            <w:r>
              <w:rPr>
                <w:rFonts w:ascii="Arial" w:hAnsi="Arial" w:cs="Arial"/>
                <w:color w:val="auto"/>
                <w:szCs w:val="21"/>
                <w:highlight w:val="none"/>
              </w:rPr>
              <w:t>日起</w:t>
            </w:r>
            <w:r>
              <w:rPr>
                <w:rFonts w:hint="eastAsia" w:ascii="Arial" w:hAnsi="Arial" w:cs="Arial"/>
                <w:color w:val="auto"/>
                <w:szCs w:val="21"/>
                <w:highlight w:val="none"/>
                <w:lang w:val="en-US" w:eastAsia="zh-CN"/>
              </w:rPr>
              <w:t>7</w:t>
            </w:r>
            <w:r>
              <w:rPr>
                <w:rFonts w:hint="eastAsia" w:ascii="Arial" w:hAnsi="Arial" w:cs="Arial"/>
                <w:color w:val="auto"/>
                <w:szCs w:val="21"/>
                <w:highlight w:val="none"/>
                <w:lang w:eastAsia="zh-CN"/>
              </w:rPr>
              <w:t>日内</w:t>
            </w:r>
            <w:r>
              <w:rPr>
                <w:rFonts w:ascii="Arial" w:hAnsi="Arial" w:cs="Arial"/>
                <w:color w:val="auto"/>
                <w:szCs w:val="21"/>
                <w:highlight w:val="none"/>
              </w:rPr>
              <w:t>，按照谈判文件和成交供应商响应文件的规定，与成交人签订书面合同。所签订的合同不得对谈判文件确定的事项和成交供应商响应文件作实质性修改。</w:t>
            </w:r>
          </w:p>
          <w:p>
            <w:pPr>
              <w:rPr>
                <w:rFonts w:ascii="Arial" w:hAnsi="Arial" w:cs="Arial"/>
                <w:color w:val="auto"/>
                <w:szCs w:val="21"/>
                <w:highlight w:val="none"/>
              </w:rPr>
            </w:pPr>
            <w:r>
              <w:rPr>
                <w:rFonts w:ascii="Arial" w:hAnsi="Arial" w:cs="Arial"/>
                <w:color w:val="auto"/>
                <w:szCs w:val="21"/>
                <w:highlight w:val="none"/>
              </w:rPr>
              <w:t>（3）采购人与成交供应商签订合同后，合同双方应严格执行合同条款，履行合同规定的义务，保证合同的顺利完成。双方均不得擅自变更、中止或者终止采购合同。</w:t>
            </w:r>
          </w:p>
          <w:p>
            <w:pPr>
              <w:rPr>
                <w:color w:val="auto"/>
                <w:szCs w:val="21"/>
                <w:highlight w:val="none"/>
              </w:rPr>
            </w:pPr>
            <w:r>
              <w:rPr>
                <w:rFonts w:ascii="Arial" w:hAnsi="Arial" w:cs="Arial"/>
                <w:color w:val="auto"/>
                <w:szCs w:val="21"/>
                <w:highlight w:val="none"/>
              </w:rPr>
              <w:t>（4）对于成交供应商履约验收不合格、双方解除合同的情况，应当按照</w:t>
            </w:r>
            <w:r>
              <w:rPr>
                <w:rFonts w:hint="eastAsia" w:ascii="Arial" w:hAnsi="Arial" w:cs="Arial"/>
                <w:color w:val="auto"/>
                <w:szCs w:val="21"/>
                <w:highlight w:val="none"/>
              </w:rPr>
              <w:t>民法典</w:t>
            </w:r>
            <w:r>
              <w:rPr>
                <w:rFonts w:ascii="Arial" w:hAnsi="Arial" w:cs="Arial"/>
                <w:color w:val="auto"/>
                <w:szCs w:val="21"/>
                <w:highlight w:val="none"/>
              </w:rPr>
              <w:t>有关规定或者合同约定执行，原则上不得顺延确定成交供应商。需要重新选定供应商的，应当重新开展采购活动。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2</w:t>
            </w:r>
            <w:r>
              <w:rPr>
                <w:rFonts w:hint="eastAsia"/>
                <w:b/>
                <w:color w:val="auto"/>
                <w:szCs w:val="21"/>
                <w:highlight w:val="none"/>
              </w:rPr>
              <w:t>2</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异议</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Arial" w:hAnsi="Arial" w:cs="Arial"/>
                <w:color w:val="auto"/>
                <w:szCs w:val="21"/>
                <w:highlight w:val="none"/>
              </w:rPr>
            </w:pPr>
            <w:r>
              <w:rPr>
                <w:rFonts w:ascii="Arial" w:hAnsi="Arial" w:cs="Arial"/>
                <w:color w:val="auto"/>
                <w:szCs w:val="21"/>
                <w:highlight w:val="none"/>
              </w:rPr>
              <w:t>1.本项目除对截标有异议的情况除外，其余环节只接受以下材料形式的异议。</w:t>
            </w:r>
          </w:p>
          <w:p>
            <w:pPr>
              <w:spacing w:line="360" w:lineRule="exact"/>
              <w:rPr>
                <w:rFonts w:ascii="Arial" w:hAnsi="Arial" w:cs="Arial"/>
                <w:color w:val="auto"/>
                <w:szCs w:val="21"/>
                <w:highlight w:val="none"/>
              </w:rPr>
            </w:pPr>
            <w:r>
              <w:rPr>
                <w:rFonts w:ascii="Arial" w:hAnsi="Arial" w:cs="Arial"/>
                <w:color w:val="auto"/>
                <w:szCs w:val="21"/>
                <w:highlight w:val="none"/>
              </w:rPr>
              <w:t>2.供应商对谈判文件有异议的，应当在响应文件截止时间3日前提出。对评</w:t>
            </w:r>
            <w:r>
              <w:rPr>
                <w:rFonts w:hint="eastAsia" w:ascii="Arial" w:hAnsi="Arial" w:cs="Arial"/>
                <w:color w:val="auto"/>
                <w:szCs w:val="21"/>
                <w:highlight w:val="none"/>
              </w:rPr>
              <w:t>审</w:t>
            </w:r>
            <w:r>
              <w:rPr>
                <w:rFonts w:ascii="Arial" w:hAnsi="Arial" w:cs="Arial"/>
                <w:color w:val="auto"/>
                <w:szCs w:val="21"/>
                <w:highlight w:val="none"/>
              </w:rPr>
              <w:t>结果有异议的，应当在</w:t>
            </w:r>
            <w:r>
              <w:rPr>
                <w:rFonts w:hint="eastAsia" w:ascii="Arial" w:hAnsi="Arial" w:cs="Arial"/>
                <w:color w:val="auto"/>
                <w:szCs w:val="21"/>
                <w:highlight w:val="none"/>
              </w:rPr>
              <w:t>成交候选供应商</w:t>
            </w:r>
            <w:r>
              <w:rPr>
                <w:rFonts w:ascii="Arial" w:hAnsi="Arial" w:cs="Arial"/>
                <w:color w:val="auto"/>
                <w:szCs w:val="21"/>
                <w:highlight w:val="none"/>
              </w:rPr>
              <w:t>公告期间提出。针对同一采购程序环节的异议须一次性提出。</w:t>
            </w:r>
          </w:p>
          <w:p>
            <w:pPr>
              <w:spacing w:line="360" w:lineRule="exact"/>
              <w:rPr>
                <w:rFonts w:ascii="Arial" w:hAnsi="Arial" w:cs="Arial"/>
                <w:color w:val="auto"/>
                <w:szCs w:val="21"/>
                <w:highlight w:val="none"/>
              </w:rPr>
            </w:pPr>
            <w:r>
              <w:rPr>
                <w:rFonts w:ascii="Arial" w:hAnsi="Arial" w:cs="Arial"/>
                <w:color w:val="auto"/>
                <w:szCs w:val="21"/>
                <w:highlight w:val="none"/>
              </w:rPr>
              <w:t>3.本项目不接受以传真、移动通信等方式送达的异议材料，供应商可通过以下方式递交异议材料。</w:t>
            </w:r>
          </w:p>
          <w:p>
            <w:pPr>
              <w:spacing w:line="360" w:lineRule="exact"/>
              <w:jc w:val="left"/>
              <w:rPr>
                <w:rFonts w:ascii="Arial" w:hAnsi="Arial" w:cs="Arial"/>
                <w:color w:val="auto"/>
                <w:szCs w:val="21"/>
                <w:highlight w:val="none"/>
              </w:rPr>
            </w:pPr>
            <w:r>
              <w:rPr>
                <w:rFonts w:ascii="Arial" w:hAnsi="Arial" w:cs="Arial"/>
                <w:color w:val="auto"/>
                <w:szCs w:val="21"/>
                <w:highlight w:val="none"/>
              </w:rPr>
              <w:sym w:font="Wingdings 2" w:char="F052"/>
            </w:r>
            <w:r>
              <w:rPr>
                <w:rFonts w:ascii="Arial" w:hAnsi="Arial" w:cs="Arial"/>
                <w:color w:val="auto"/>
                <w:szCs w:val="21"/>
                <w:highlight w:val="none"/>
              </w:rPr>
              <w:t>通过现场或邮寄方式递交</w:t>
            </w:r>
          </w:p>
          <w:p>
            <w:pPr>
              <w:spacing w:line="360" w:lineRule="exact"/>
              <w:rPr>
                <w:rFonts w:ascii="Arial" w:hAnsi="Arial" w:cs="Arial"/>
                <w:color w:val="auto"/>
                <w:szCs w:val="21"/>
                <w:highlight w:val="none"/>
              </w:rPr>
            </w:pPr>
            <w:r>
              <w:rPr>
                <w:rFonts w:ascii="Arial" w:hAnsi="Arial" w:cs="Arial"/>
                <w:color w:val="auto"/>
                <w:szCs w:val="21"/>
                <w:highlight w:val="none"/>
              </w:rPr>
              <w:sym w:font="Wingdings 2" w:char="F0A3"/>
            </w:r>
            <w:r>
              <w:rPr>
                <w:rFonts w:ascii="Arial" w:hAnsi="Arial" w:cs="Arial"/>
                <w:color w:val="auto"/>
                <w:szCs w:val="21"/>
                <w:highlight w:val="none"/>
              </w:rPr>
              <w:t>通过电子交易平台与邮寄形式同时递交</w:t>
            </w:r>
          </w:p>
          <w:p>
            <w:pPr>
              <w:spacing w:line="360" w:lineRule="exact"/>
              <w:rPr>
                <w:rFonts w:ascii="Arial" w:hAnsi="Arial" w:cs="Arial"/>
                <w:color w:val="auto"/>
                <w:szCs w:val="21"/>
                <w:highlight w:val="none"/>
              </w:rPr>
            </w:pPr>
            <w:r>
              <w:rPr>
                <w:rFonts w:ascii="Arial" w:hAnsi="Arial" w:cs="Arial"/>
                <w:color w:val="auto"/>
                <w:szCs w:val="21"/>
                <w:highlight w:val="none"/>
              </w:rPr>
              <w:t>（1）通过电子交易平台提交需进入电子交易平台，在已参加项目中选择本项目，在</w:t>
            </w:r>
            <w:r>
              <w:rPr>
                <w:rFonts w:hint="eastAsia" w:ascii="Arial" w:hAnsi="Arial" w:cs="Arial"/>
                <w:color w:val="auto"/>
                <w:szCs w:val="21"/>
                <w:highlight w:val="none"/>
              </w:rPr>
              <w:t>竞</w:t>
            </w:r>
            <w:r>
              <w:rPr>
                <w:rFonts w:ascii="Arial" w:hAnsi="Arial" w:cs="Arial"/>
                <w:color w:val="auto"/>
                <w:szCs w:val="21"/>
                <w:highlight w:val="none"/>
              </w:rPr>
              <w:t>标业务中选择对应功能菜单进行操作，供应商应同时上传异议函原件扫描件。</w:t>
            </w:r>
          </w:p>
          <w:p>
            <w:pPr>
              <w:rPr>
                <w:color w:val="auto"/>
                <w:szCs w:val="21"/>
                <w:highlight w:val="none"/>
              </w:rPr>
            </w:pPr>
            <w:r>
              <w:rPr>
                <w:rFonts w:ascii="Arial" w:hAnsi="Arial" w:cs="Arial"/>
                <w:color w:val="auto"/>
                <w:szCs w:val="21"/>
                <w:highlight w:val="none"/>
              </w:rPr>
              <w:t>（2）通过邮寄形式的供应商应于异议有效期内容将异议函原件密封并快递至采购代理机构，发送快递时请注明内容为“</w:t>
            </w:r>
            <w:r>
              <w:rPr>
                <w:rFonts w:hint="eastAsia" w:ascii="Arial" w:hAnsi="Arial" w:cs="Arial"/>
                <w:color w:val="auto"/>
                <w:szCs w:val="21"/>
                <w:highlight w:val="none"/>
              </w:rPr>
              <w:t>竞</w:t>
            </w:r>
            <w:r>
              <w:rPr>
                <w:rFonts w:ascii="Arial" w:hAnsi="Arial" w:cs="Arial"/>
                <w:color w:val="auto"/>
                <w:szCs w:val="21"/>
                <w:highlight w:val="none"/>
              </w:rPr>
              <w:t>标人名称+关于+项目名称+异议函”。供应商应合理估计快递时间以确保按时寄达，逾期送达的异议材料将予以拒收。联系方式：详见采购公告采购代理机构联系信息。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23</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1"/>
                <w:highlight w:val="none"/>
              </w:rPr>
              <w:t>词语定义或说明</w:t>
            </w:r>
          </w:p>
        </w:tc>
        <w:tc>
          <w:tcPr>
            <w:tcW w:w="722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auto"/>
                <w:szCs w:val="21"/>
                <w:highlight w:val="none"/>
              </w:rPr>
            </w:pPr>
            <w:r>
              <w:rPr>
                <w:rFonts w:hint="eastAsia"/>
                <w:color w:val="auto"/>
                <w:szCs w:val="21"/>
                <w:highlight w:val="none"/>
              </w:rPr>
              <w:t>（1）</w:t>
            </w:r>
            <w:r>
              <w:rPr>
                <w:color w:val="auto"/>
                <w:szCs w:val="21"/>
                <w:highlight w:val="none"/>
              </w:rPr>
              <w:t>“供应商”系指响应招标、参加</w:t>
            </w:r>
            <w:r>
              <w:rPr>
                <w:rFonts w:hint="eastAsia"/>
                <w:color w:val="auto"/>
                <w:szCs w:val="21"/>
                <w:highlight w:val="none"/>
              </w:rPr>
              <w:t>谈判</w:t>
            </w:r>
            <w:r>
              <w:rPr>
                <w:color w:val="auto"/>
                <w:szCs w:val="21"/>
                <w:highlight w:val="none"/>
              </w:rPr>
              <w:t>的法人、其他组织。法人包括企业法人、机关法人、事业单位法人和社会团体法人。其他组织包括合伙企业、非企业专业服务机构、个体工商户、农村承包经营户及国家有关法律法规规定的组织。</w:t>
            </w:r>
          </w:p>
          <w:p>
            <w:pPr>
              <w:spacing w:line="300" w:lineRule="exact"/>
              <w:jc w:val="left"/>
              <w:rPr>
                <w:color w:val="auto"/>
                <w:szCs w:val="21"/>
                <w:highlight w:val="none"/>
              </w:rPr>
            </w:pPr>
            <w:r>
              <w:rPr>
                <w:rFonts w:hint="eastAsia"/>
                <w:color w:val="auto"/>
                <w:szCs w:val="21"/>
                <w:highlight w:val="none"/>
              </w:rPr>
              <w:t>（2）</w:t>
            </w:r>
            <w:r>
              <w:rPr>
                <w:color w:val="auto"/>
                <w:szCs w:val="21"/>
                <w:highlight w:val="none"/>
              </w:rPr>
              <w:t>本</w:t>
            </w:r>
            <w:r>
              <w:rPr>
                <w:rFonts w:hint="eastAsia"/>
                <w:color w:val="auto"/>
                <w:szCs w:val="21"/>
                <w:highlight w:val="none"/>
              </w:rPr>
              <w:t>文件</w:t>
            </w:r>
            <w:r>
              <w:rPr>
                <w:color w:val="auto"/>
                <w:szCs w:val="21"/>
                <w:highlight w:val="none"/>
              </w:rPr>
              <w:t>中的</w:t>
            </w:r>
            <w:r>
              <w:rPr>
                <w:rFonts w:hint="eastAsia"/>
                <w:color w:val="auto"/>
                <w:szCs w:val="21"/>
                <w:highlight w:val="none"/>
              </w:rPr>
              <w:t>“法定代表人”若无特别说明，当</w:t>
            </w:r>
            <w:r>
              <w:rPr>
                <w:color w:val="auto"/>
                <w:szCs w:val="21"/>
                <w:highlight w:val="none"/>
              </w:rPr>
              <w:t>供应商是</w:t>
            </w:r>
            <w:r>
              <w:rPr>
                <w:rFonts w:hint="eastAsia"/>
                <w:color w:val="auto"/>
                <w:szCs w:val="21"/>
                <w:highlight w:val="none"/>
              </w:rPr>
              <w:t>企业的，是指企业法人营业执照上的法定代表人；当</w:t>
            </w:r>
            <w:r>
              <w:rPr>
                <w:color w:val="auto"/>
                <w:szCs w:val="21"/>
                <w:highlight w:val="none"/>
              </w:rPr>
              <w:t>供应商是</w:t>
            </w:r>
            <w:r>
              <w:rPr>
                <w:rFonts w:hint="eastAsia"/>
                <w:color w:val="auto"/>
                <w:szCs w:val="21"/>
                <w:highlight w:val="none"/>
              </w:rPr>
              <w:t>事业单位的，是指事业单位法人证书上的法定代表人；当</w:t>
            </w:r>
            <w:r>
              <w:rPr>
                <w:color w:val="auto"/>
                <w:szCs w:val="21"/>
                <w:highlight w:val="none"/>
              </w:rPr>
              <w:t>供应商是</w:t>
            </w:r>
            <w:r>
              <w:rPr>
                <w:rFonts w:hint="eastAsia"/>
                <w:color w:val="auto"/>
                <w:szCs w:val="21"/>
                <w:highlight w:val="none"/>
              </w:rPr>
              <w:t>社会团体、民办非企业的，是指法人登记证书中的法定代表人；当</w:t>
            </w:r>
            <w:r>
              <w:rPr>
                <w:color w:val="auto"/>
                <w:szCs w:val="21"/>
                <w:highlight w:val="none"/>
              </w:rPr>
              <w:t>供应商是</w:t>
            </w:r>
            <w:r>
              <w:rPr>
                <w:rFonts w:hint="eastAsia"/>
                <w:color w:val="auto"/>
                <w:szCs w:val="21"/>
                <w:highlight w:val="none"/>
              </w:rPr>
              <w:t>个体工商户的，是指个体工商户营业执照上的经营者。</w:t>
            </w:r>
          </w:p>
          <w:p>
            <w:pPr>
              <w:spacing w:line="300" w:lineRule="exact"/>
              <w:jc w:val="left"/>
              <w:rPr>
                <w:color w:val="auto"/>
                <w:szCs w:val="21"/>
                <w:highlight w:val="none"/>
              </w:rPr>
            </w:pPr>
            <w:r>
              <w:rPr>
                <w:rFonts w:hint="eastAsia"/>
                <w:color w:val="auto"/>
                <w:szCs w:val="21"/>
                <w:highlight w:val="none"/>
              </w:rPr>
              <w:t>（3）</w:t>
            </w:r>
            <w:r>
              <w:rPr>
                <w:color w:val="auto"/>
                <w:szCs w:val="21"/>
                <w:highlight w:val="none"/>
              </w:rPr>
              <w:t xml:space="preserve">“书面形式”如无特殊规定，“书面形式”是指信函和数据电文（包括传真和电子邮件）等可以有形地表现所载内容的形式。谈判文件如有特殊规定，以谈判文件规定为准。 </w:t>
            </w:r>
          </w:p>
          <w:p>
            <w:pPr>
              <w:spacing w:line="300" w:lineRule="exact"/>
              <w:jc w:val="left"/>
              <w:rPr>
                <w:color w:val="auto"/>
                <w:szCs w:val="21"/>
                <w:highlight w:val="none"/>
              </w:rPr>
            </w:pPr>
            <w:r>
              <w:rPr>
                <w:rFonts w:hint="eastAsia"/>
                <w:color w:val="auto"/>
                <w:szCs w:val="21"/>
                <w:highlight w:val="none"/>
              </w:rPr>
              <w:t>（4）本项目的技术商务要求</w:t>
            </w:r>
            <w:r>
              <w:rPr>
                <w:rFonts w:hint="eastAsia" w:ascii="宋体" w:hAnsi="宋体"/>
                <w:color w:val="auto"/>
                <w:szCs w:val="21"/>
                <w:highlight w:val="none"/>
              </w:rPr>
              <w:t>重要性分为“▲”（如有）、“#”（如有）和一般无标识指标。▲代表实质性</w:t>
            </w:r>
            <w:r>
              <w:rPr>
                <w:rFonts w:ascii="宋体" w:hAnsi="宋体"/>
                <w:color w:val="auto"/>
                <w:szCs w:val="21"/>
                <w:highlight w:val="none"/>
              </w:rPr>
              <w:t>要求</w:t>
            </w:r>
            <w:r>
              <w:rPr>
                <w:rFonts w:hint="eastAsia" w:ascii="宋体" w:hAnsi="宋体"/>
                <w:color w:val="auto"/>
                <w:szCs w:val="21"/>
                <w:highlight w:val="none"/>
              </w:rPr>
              <w:t>指标，不满足该指标项将导致响应被否决，#代表重要指标，无标识则表示一般指标项。</w:t>
            </w:r>
          </w:p>
          <w:p>
            <w:pPr>
              <w:rPr>
                <w:color w:val="auto"/>
                <w:szCs w:val="21"/>
                <w:highlight w:val="none"/>
              </w:rPr>
            </w:pPr>
            <w:r>
              <w:rPr>
                <w:rFonts w:hint="eastAsia"/>
                <w:color w:val="auto"/>
                <w:szCs w:val="21"/>
                <w:highlight w:val="none"/>
              </w:rPr>
              <w:t>（5）本谈判</w:t>
            </w:r>
            <w:r>
              <w:rPr>
                <w:color w:val="auto"/>
                <w:szCs w:val="21"/>
                <w:highlight w:val="none"/>
              </w:rPr>
              <w:t>文件</w:t>
            </w:r>
            <w:r>
              <w:rPr>
                <w:rFonts w:hint="eastAsia"/>
                <w:color w:val="auto"/>
                <w:szCs w:val="21"/>
                <w:highlight w:val="none"/>
              </w:rPr>
              <w:t>出现多种选项的地方，以“</w:t>
            </w:r>
            <w:r>
              <w:rPr>
                <w:color w:val="auto"/>
                <w:szCs w:val="21"/>
                <w:highlight w:val="none"/>
              </w:rPr>
              <w:sym w:font="Wingdings 2" w:char="F052"/>
            </w:r>
            <w:r>
              <w:rPr>
                <w:rFonts w:hint="eastAsia"/>
                <w:color w:val="auto"/>
                <w:szCs w:val="21"/>
                <w:highlight w:val="none"/>
              </w:rPr>
              <w:t xml:space="preserve">”表示本项目所选择的方式。 </w:t>
            </w:r>
          </w:p>
          <w:p>
            <w:pPr>
              <w:rPr>
                <w:color w:val="auto"/>
                <w:szCs w:val="21"/>
                <w:highlight w:val="none"/>
              </w:rPr>
            </w:pPr>
            <w:r>
              <w:rPr>
                <w:rFonts w:hint="eastAsia"/>
                <w:color w:val="auto"/>
                <w:szCs w:val="21"/>
                <w:highlight w:val="none"/>
              </w:rPr>
              <w:t>（6）</w:t>
            </w:r>
            <w:r>
              <w:rPr>
                <w:color w:val="auto"/>
                <w:szCs w:val="21"/>
                <w:highlight w:val="none"/>
              </w:rPr>
              <w:t>供应商应保证其提供的联系方式（电话、传真、电子邮件）有效，以保证往来函件（澄清、修改等）能及时通知供应商，并能及时反馈，否则采购人</w:t>
            </w:r>
            <w:r>
              <w:rPr>
                <w:rFonts w:hint="eastAsia"/>
                <w:color w:val="auto"/>
                <w:szCs w:val="21"/>
                <w:highlight w:val="none"/>
              </w:rPr>
              <w:t>及代理机构</w:t>
            </w:r>
            <w:r>
              <w:rPr>
                <w:color w:val="auto"/>
                <w:szCs w:val="21"/>
                <w:highlight w:val="none"/>
              </w:rPr>
              <w:t>不承担由此引起的一切后果。</w:t>
            </w:r>
          </w:p>
          <w:p>
            <w:pPr>
              <w:spacing w:line="312" w:lineRule="auto"/>
              <w:jc w:val="left"/>
              <w:rPr>
                <w:color w:val="auto"/>
                <w:kern w:val="0"/>
                <w:szCs w:val="21"/>
                <w:highlight w:val="none"/>
              </w:rPr>
            </w:pPr>
            <w:r>
              <w:rPr>
                <w:rFonts w:hint="eastAsia"/>
                <w:color w:val="auto"/>
                <w:szCs w:val="21"/>
                <w:highlight w:val="none"/>
              </w:rPr>
              <w:t>（7）</w:t>
            </w:r>
            <w:r>
              <w:rPr>
                <w:color w:val="auto"/>
                <w:szCs w:val="21"/>
                <w:highlight w:val="none"/>
              </w:rPr>
              <w:t>本项目所有</w:t>
            </w:r>
            <w:r>
              <w:rPr>
                <w:rFonts w:hint="eastAsia"/>
                <w:color w:val="auto"/>
                <w:szCs w:val="21"/>
                <w:highlight w:val="none"/>
              </w:rPr>
              <w:t>响应</w:t>
            </w:r>
            <w:r>
              <w:rPr>
                <w:color w:val="auto"/>
                <w:szCs w:val="21"/>
                <w:highlight w:val="none"/>
              </w:rPr>
              <w:t>文件均不予退还。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2</w:t>
            </w:r>
            <w:r>
              <w:rPr>
                <w:rFonts w:hint="eastAsia"/>
                <w:b/>
                <w:color w:val="auto"/>
                <w:szCs w:val="21"/>
                <w:highlight w:val="none"/>
              </w:rPr>
              <w:t>4</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rFonts w:hint="eastAsia"/>
                <w:color w:val="auto"/>
                <w:szCs w:val="21"/>
                <w:highlight w:val="none"/>
              </w:rPr>
              <w:t>响应表说明</w:t>
            </w:r>
          </w:p>
          <w:p>
            <w:pPr>
              <w:spacing w:line="300" w:lineRule="exact"/>
              <w:jc w:val="center"/>
              <w:rPr>
                <w:color w:val="auto"/>
                <w:szCs w:val="21"/>
                <w:highlight w:val="none"/>
              </w:rPr>
            </w:pPr>
          </w:p>
        </w:tc>
        <w:tc>
          <w:tcPr>
            <w:tcW w:w="7228" w:type="dxa"/>
            <w:tcBorders>
              <w:top w:val="single" w:color="auto" w:sz="4" w:space="0"/>
              <w:left w:val="single" w:color="auto" w:sz="4" w:space="0"/>
              <w:bottom w:val="single" w:color="auto" w:sz="4" w:space="0"/>
              <w:right w:val="single" w:color="auto" w:sz="4" w:space="0"/>
            </w:tcBorders>
            <w:vAlign w:val="center"/>
          </w:tcPr>
          <w:p>
            <w:pPr>
              <w:spacing w:before="120"/>
              <w:ind w:firstLine="420" w:firstLineChars="200"/>
              <w:rPr>
                <w:color w:val="auto"/>
                <w:szCs w:val="21"/>
                <w:highlight w:val="none"/>
              </w:rPr>
            </w:pPr>
            <w:bookmarkStart w:id="15" w:name="_Hlk132792081"/>
            <w:r>
              <w:rPr>
                <w:rFonts w:hint="eastAsia"/>
                <w:color w:val="auto"/>
                <w:szCs w:val="21"/>
                <w:highlight w:val="none"/>
              </w:rPr>
              <w:t>供应商根据采购需求中技术参数为基准，填写响应表，对于响应表或证明材料与技术参数不符的，按如下规定：</w:t>
            </w:r>
          </w:p>
          <w:p>
            <w:pPr>
              <w:spacing w:before="120"/>
              <w:rPr>
                <w:color w:val="auto"/>
                <w:szCs w:val="21"/>
                <w:highlight w:val="none"/>
              </w:rPr>
            </w:pPr>
            <w:r>
              <w:rPr>
                <w:rFonts w:hint="eastAsia"/>
                <w:color w:val="auto"/>
                <w:szCs w:val="21"/>
                <w:highlight w:val="none"/>
              </w:rPr>
              <w:t>（1）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pPr>
              <w:spacing w:before="120"/>
              <w:rPr>
                <w:color w:val="auto"/>
                <w:szCs w:val="21"/>
                <w:highlight w:val="none"/>
              </w:rPr>
            </w:pPr>
            <w:r>
              <w:rPr>
                <w:rFonts w:hint="eastAsia"/>
                <w:color w:val="auto"/>
                <w:szCs w:val="21"/>
                <w:highlight w:val="none"/>
              </w:rPr>
              <w:t>（2）响应表中响应的内容与证明材料不一致的，以证明材料为准作为评审依据。</w:t>
            </w:r>
          </w:p>
          <w:p>
            <w:pPr>
              <w:spacing w:before="120"/>
              <w:rPr>
                <w:color w:val="auto"/>
                <w:szCs w:val="21"/>
                <w:highlight w:val="none"/>
              </w:rPr>
            </w:pPr>
            <w:r>
              <w:rPr>
                <w:rFonts w:hint="eastAsia"/>
                <w:color w:val="auto"/>
                <w:szCs w:val="21"/>
                <w:highlight w:val="none"/>
              </w:rPr>
              <w:t>（3）同时出现以上两种情况的，按照（1）-（2）顺序认定。</w:t>
            </w:r>
          </w:p>
          <w:p>
            <w:pPr>
              <w:spacing w:before="120"/>
              <w:rPr>
                <w:color w:val="auto"/>
                <w:szCs w:val="21"/>
                <w:highlight w:val="none"/>
              </w:rPr>
            </w:pPr>
            <w:r>
              <w:rPr>
                <w:rFonts w:hint="eastAsia"/>
                <w:color w:val="auto"/>
                <w:szCs w:val="21"/>
                <w:highlight w:val="none"/>
              </w:rPr>
              <w:t>（</w:t>
            </w:r>
            <w:r>
              <w:rPr>
                <w:color w:val="auto"/>
                <w:szCs w:val="21"/>
                <w:highlight w:val="none"/>
              </w:rPr>
              <w:t>4</w:t>
            </w:r>
            <w:r>
              <w:rPr>
                <w:rFonts w:hint="eastAsia"/>
                <w:color w:val="auto"/>
                <w:szCs w:val="21"/>
                <w:highlight w:val="none"/>
              </w:rPr>
              <w:t>）响应表与采购需求中技术参数比较有漏项的，如为实质性参数漏项，视为未响应；如为非实质性参数漏项，视为负偏离。</w:t>
            </w:r>
          </w:p>
          <w:p>
            <w:pPr>
              <w:spacing w:before="120"/>
              <w:rPr>
                <w:color w:val="auto"/>
                <w:szCs w:val="21"/>
                <w:highlight w:val="none"/>
              </w:rPr>
            </w:pPr>
            <w:r>
              <w:rPr>
                <w:rFonts w:hint="eastAsia"/>
                <w:color w:val="auto"/>
                <w:szCs w:val="21"/>
                <w:highlight w:val="none"/>
              </w:rPr>
              <w:t>（</w:t>
            </w:r>
            <w:r>
              <w:rPr>
                <w:color w:val="auto"/>
                <w:szCs w:val="21"/>
                <w:highlight w:val="none"/>
              </w:rPr>
              <w:t>5</w:t>
            </w:r>
            <w:r>
              <w:rPr>
                <w:rFonts w:hint="eastAsia"/>
                <w:color w:val="auto"/>
                <w:szCs w:val="21"/>
                <w:highlight w:val="none"/>
              </w:rPr>
              <w:t>）一项技术参数有多条小项要求的，必须全部响应。如只响应部分参数，视为漏项，按照（4）判定。评审时以每一条技术参数为评审依据。</w:t>
            </w:r>
          </w:p>
          <w:p>
            <w:pPr>
              <w:spacing w:before="120"/>
              <w:rPr>
                <w:color w:val="auto"/>
                <w:szCs w:val="21"/>
                <w:highlight w:val="none"/>
              </w:rPr>
            </w:pPr>
            <w:r>
              <w:rPr>
                <w:rFonts w:hint="eastAsia"/>
                <w:color w:val="auto"/>
                <w:szCs w:val="21"/>
                <w:highlight w:val="none"/>
              </w:rPr>
              <w:t>（</w:t>
            </w:r>
            <w:r>
              <w:rPr>
                <w:color w:val="auto"/>
                <w:szCs w:val="21"/>
                <w:highlight w:val="none"/>
              </w:rPr>
              <w:t>6</w:t>
            </w:r>
            <w:r>
              <w:rPr>
                <w:rFonts w:hint="eastAsia"/>
                <w:color w:val="auto"/>
                <w:szCs w:val="21"/>
                <w:highlight w:val="none"/>
              </w:rPr>
              <w:t>）对于区间涵盖值参数，例：电压“测量范围</w:t>
            </w:r>
            <w:r>
              <w:rPr>
                <w:color w:val="auto"/>
                <w:szCs w:val="21"/>
                <w:highlight w:val="none"/>
              </w:rPr>
              <w:t>3V-5V</w:t>
            </w:r>
            <w:r>
              <w:rPr>
                <w:rFonts w:hint="eastAsia"/>
                <w:color w:val="auto"/>
                <w:szCs w:val="21"/>
                <w:highlight w:val="none"/>
              </w:rPr>
              <w:t>”，同时满足下限值更低及上限值更高才视为正偏离，例：响应为“测量范围</w:t>
            </w:r>
            <w:r>
              <w:rPr>
                <w:color w:val="auto"/>
                <w:szCs w:val="21"/>
                <w:highlight w:val="none"/>
              </w:rPr>
              <w:t>2V-6V”</w:t>
            </w:r>
            <w:r>
              <w:rPr>
                <w:rFonts w:hint="eastAsia"/>
                <w:color w:val="auto"/>
                <w:szCs w:val="21"/>
                <w:highlight w:val="none"/>
              </w:rPr>
              <w:t>。如有一端负偏离，不管另一端如何，均视为负偏离，例：响应为“测量范围4</w:t>
            </w:r>
            <w:r>
              <w:rPr>
                <w:color w:val="auto"/>
                <w:szCs w:val="21"/>
                <w:highlight w:val="none"/>
              </w:rPr>
              <w:t>V-6V</w:t>
            </w:r>
            <w:r>
              <w:rPr>
                <w:rFonts w:hint="eastAsia"/>
                <w:color w:val="auto"/>
                <w:szCs w:val="21"/>
                <w:highlight w:val="none"/>
              </w:rPr>
              <w:t>”。</w:t>
            </w:r>
          </w:p>
          <w:p>
            <w:pPr>
              <w:spacing w:before="120"/>
              <w:rPr>
                <w:color w:val="auto"/>
                <w:szCs w:val="21"/>
                <w:highlight w:val="none"/>
              </w:rPr>
            </w:pPr>
            <w:r>
              <w:rPr>
                <w:rFonts w:hint="eastAsia"/>
                <w:color w:val="auto"/>
                <w:szCs w:val="21"/>
                <w:highlight w:val="none"/>
              </w:rPr>
              <w:t>（</w:t>
            </w:r>
            <w:r>
              <w:rPr>
                <w:color w:val="auto"/>
                <w:szCs w:val="21"/>
                <w:highlight w:val="none"/>
              </w:rPr>
              <w:t>7</w:t>
            </w:r>
            <w:r>
              <w:rPr>
                <w:rFonts w:hint="eastAsia"/>
                <w:color w:val="auto"/>
                <w:szCs w:val="21"/>
                <w:highlight w:val="none"/>
              </w:rPr>
              <w:t>）对于区间任意值参数，例“</w:t>
            </w:r>
            <w:r>
              <w:rPr>
                <w:color w:val="auto"/>
                <w:szCs w:val="21"/>
                <w:highlight w:val="none"/>
              </w:rPr>
              <w:t>5</w:t>
            </w:r>
            <w:r>
              <w:rPr>
                <w:rFonts w:hint="eastAsia"/>
                <w:color w:val="auto"/>
                <w:szCs w:val="21"/>
                <w:highlight w:val="none"/>
              </w:rPr>
              <w:t>m</w:t>
            </w:r>
            <w:r>
              <w:rPr>
                <w:color w:val="auto"/>
                <w:szCs w:val="21"/>
                <w:highlight w:val="none"/>
              </w:rPr>
              <w:t>m</w:t>
            </w:r>
            <w:r>
              <w:rPr>
                <w:rFonts w:hint="eastAsia"/>
                <w:color w:val="auto"/>
                <w:szCs w:val="21"/>
                <w:highlight w:val="none"/>
              </w:rPr>
              <w:t>≤间距≤1</w:t>
            </w:r>
            <w:r>
              <w:rPr>
                <w:color w:val="auto"/>
                <w:szCs w:val="21"/>
                <w:highlight w:val="none"/>
              </w:rPr>
              <w:t>0</w:t>
            </w:r>
            <w:r>
              <w:rPr>
                <w:rFonts w:hint="eastAsia"/>
                <w:color w:val="auto"/>
                <w:szCs w:val="21"/>
                <w:highlight w:val="none"/>
              </w:rPr>
              <w:t>m</w:t>
            </w:r>
            <w:r>
              <w:rPr>
                <w:color w:val="auto"/>
                <w:szCs w:val="21"/>
                <w:highlight w:val="none"/>
              </w:rPr>
              <w:t>m</w:t>
            </w:r>
            <w:r>
              <w:rPr>
                <w:rFonts w:hint="eastAsia"/>
                <w:color w:val="auto"/>
                <w:szCs w:val="21"/>
                <w:highlight w:val="none"/>
              </w:rPr>
              <w:t>”或“间距7.5±2.5mm”，若间距响应值为</w:t>
            </w:r>
            <w:r>
              <w:rPr>
                <w:color w:val="auto"/>
                <w:szCs w:val="21"/>
                <w:highlight w:val="none"/>
              </w:rPr>
              <w:t>5</w:t>
            </w:r>
            <w:r>
              <w:rPr>
                <w:rFonts w:hint="eastAsia"/>
                <w:color w:val="auto"/>
                <w:szCs w:val="21"/>
                <w:highlight w:val="none"/>
              </w:rPr>
              <w:t>m</w:t>
            </w:r>
            <w:r>
              <w:rPr>
                <w:color w:val="auto"/>
                <w:szCs w:val="21"/>
                <w:highlight w:val="none"/>
              </w:rPr>
              <w:t>m-10mm</w:t>
            </w:r>
            <w:r>
              <w:rPr>
                <w:rFonts w:hint="eastAsia"/>
                <w:color w:val="auto"/>
                <w:szCs w:val="21"/>
                <w:highlight w:val="none"/>
              </w:rPr>
              <w:t>中任意区间值或任意一个数值（含本数）时为无偏离，例：“6m</w:t>
            </w:r>
            <w:r>
              <w:rPr>
                <w:color w:val="auto"/>
                <w:szCs w:val="21"/>
                <w:highlight w:val="none"/>
              </w:rPr>
              <w:t>m</w:t>
            </w:r>
            <w:r>
              <w:rPr>
                <w:rFonts w:hint="eastAsia"/>
                <w:color w:val="auto"/>
                <w:szCs w:val="21"/>
                <w:highlight w:val="none"/>
              </w:rPr>
              <w:t>≤间距≤8m</w:t>
            </w:r>
            <w:r>
              <w:rPr>
                <w:color w:val="auto"/>
                <w:szCs w:val="21"/>
                <w:highlight w:val="none"/>
              </w:rPr>
              <w:t>m</w:t>
            </w:r>
            <w:r>
              <w:rPr>
                <w:rFonts w:hint="eastAsia"/>
                <w:color w:val="auto"/>
                <w:szCs w:val="21"/>
                <w:highlight w:val="none"/>
              </w:rPr>
              <w:t>”、“8±2mm”、“8mm”。超过区间范围视为负偏离，例：“3m</w:t>
            </w:r>
            <w:r>
              <w:rPr>
                <w:color w:val="auto"/>
                <w:szCs w:val="21"/>
                <w:highlight w:val="none"/>
              </w:rPr>
              <w:t>m</w:t>
            </w:r>
            <w:r>
              <w:rPr>
                <w:rFonts w:hint="eastAsia"/>
                <w:color w:val="auto"/>
                <w:szCs w:val="21"/>
                <w:highlight w:val="none"/>
              </w:rPr>
              <w:t>≤间距≤12m</w:t>
            </w:r>
            <w:r>
              <w:rPr>
                <w:color w:val="auto"/>
                <w:szCs w:val="21"/>
                <w:highlight w:val="none"/>
              </w:rPr>
              <w:t>m</w:t>
            </w:r>
            <w:r>
              <w:rPr>
                <w:rFonts w:hint="eastAsia"/>
                <w:color w:val="auto"/>
                <w:szCs w:val="21"/>
                <w:highlight w:val="none"/>
              </w:rPr>
              <w:t>”、“8±4mm”、“3-12mm”、“3mm”。此类参数不存在正偏离。</w:t>
            </w:r>
          </w:p>
          <w:p>
            <w:pPr>
              <w:spacing w:before="120"/>
              <w:rPr>
                <w:color w:val="auto"/>
                <w:szCs w:val="21"/>
                <w:highlight w:val="none"/>
              </w:rPr>
            </w:pPr>
            <w:r>
              <w:rPr>
                <w:rFonts w:hint="eastAsia"/>
                <w:color w:val="auto"/>
                <w:szCs w:val="21"/>
                <w:highlight w:val="none"/>
              </w:rPr>
              <w:t>（</w:t>
            </w:r>
            <w:r>
              <w:rPr>
                <w:color w:val="auto"/>
                <w:szCs w:val="21"/>
                <w:highlight w:val="none"/>
              </w:rPr>
              <w:t>8</w:t>
            </w:r>
            <w:r>
              <w:rPr>
                <w:rFonts w:hint="eastAsia"/>
                <w:color w:val="auto"/>
                <w:szCs w:val="21"/>
                <w:highlight w:val="none"/>
              </w:rPr>
              <w:t>）对于单边任意参数的要求，例“长度≥5</w:t>
            </w:r>
            <w:r>
              <w:rPr>
                <w:color w:val="auto"/>
                <w:szCs w:val="21"/>
                <w:highlight w:val="none"/>
              </w:rPr>
              <w:t>0cm”</w:t>
            </w:r>
            <w:r>
              <w:rPr>
                <w:rFonts w:hint="eastAsia"/>
                <w:color w:val="auto"/>
                <w:szCs w:val="21"/>
                <w:highlight w:val="none"/>
              </w:rPr>
              <w:t>，若响应为5</w:t>
            </w:r>
            <w:r>
              <w:rPr>
                <w:color w:val="auto"/>
                <w:szCs w:val="21"/>
                <w:highlight w:val="none"/>
              </w:rPr>
              <w:t>0 cm</w:t>
            </w:r>
            <w:r>
              <w:rPr>
                <w:rFonts w:hint="eastAsia"/>
                <w:color w:val="auto"/>
                <w:szCs w:val="21"/>
                <w:highlight w:val="none"/>
              </w:rPr>
              <w:t>及5</w:t>
            </w:r>
            <w:r>
              <w:rPr>
                <w:color w:val="auto"/>
                <w:szCs w:val="21"/>
                <w:highlight w:val="none"/>
              </w:rPr>
              <w:t>0cm</w:t>
            </w:r>
            <w:r>
              <w:rPr>
                <w:rFonts w:hint="eastAsia"/>
                <w:color w:val="auto"/>
                <w:szCs w:val="21"/>
                <w:highlight w:val="none"/>
              </w:rPr>
              <w:t>以上任意一个数值，均视为无偏离；若响应小于5</w:t>
            </w:r>
            <w:r>
              <w:rPr>
                <w:color w:val="auto"/>
                <w:szCs w:val="21"/>
                <w:highlight w:val="none"/>
              </w:rPr>
              <w:t>0cm</w:t>
            </w:r>
            <w:r>
              <w:rPr>
                <w:rFonts w:hint="eastAsia"/>
                <w:color w:val="auto"/>
                <w:szCs w:val="21"/>
                <w:highlight w:val="none"/>
              </w:rPr>
              <w:t>，视为负偏离。此类参数无正偏离。</w:t>
            </w:r>
          </w:p>
          <w:p>
            <w:pPr>
              <w:spacing w:before="120"/>
              <w:rPr>
                <w:color w:val="auto"/>
                <w:szCs w:val="21"/>
                <w:highlight w:val="none"/>
              </w:rPr>
            </w:pPr>
            <w:r>
              <w:rPr>
                <w:rFonts w:hint="eastAsia"/>
                <w:color w:val="auto"/>
                <w:szCs w:val="21"/>
                <w:highlight w:val="none"/>
              </w:rPr>
              <w:t>（</w:t>
            </w:r>
            <w:r>
              <w:rPr>
                <w:color w:val="auto"/>
                <w:szCs w:val="21"/>
                <w:highlight w:val="none"/>
              </w:rPr>
              <w:t>9</w:t>
            </w:r>
            <w:r>
              <w:rPr>
                <w:rFonts w:hint="eastAsia"/>
                <w:color w:val="auto"/>
                <w:szCs w:val="21"/>
                <w:highlight w:val="none"/>
              </w:rPr>
              <w:t>）对于固定参数，响应与采购需求中技术参数一致，视为无偏离，其他均视为负偏离，此类参数无正偏离。</w:t>
            </w:r>
          </w:p>
          <w:p>
            <w:pPr>
              <w:spacing w:before="120"/>
              <w:rPr>
                <w:color w:val="auto"/>
                <w:szCs w:val="21"/>
                <w:highlight w:val="none"/>
              </w:rPr>
            </w:pPr>
            <w:r>
              <w:rPr>
                <w:rFonts w:hint="eastAsia"/>
                <w:color w:val="auto"/>
                <w:szCs w:val="21"/>
                <w:highlight w:val="none"/>
              </w:rPr>
              <w:t>（</w:t>
            </w:r>
            <w:r>
              <w:rPr>
                <w:color w:val="auto"/>
                <w:szCs w:val="21"/>
                <w:highlight w:val="none"/>
              </w:rPr>
              <w:t>10</w:t>
            </w:r>
            <w:r>
              <w:rPr>
                <w:rFonts w:hint="eastAsia"/>
                <w:color w:val="auto"/>
                <w:szCs w:val="21"/>
                <w:highlight w:val="none"/>
              </w:rPr>
              <w:t>）如采购需求中技术参数有特殊要求与上述说明不一致的，以特殊要求为准。</w:t>
            </w:r>
            <w:bookmarkEnd w:id="1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b/>
                <w:color w:val="auto"/>
                <w:szCs w:val="21"/>
                <w:highlight w:val="none"/>
              </w:rPr>
              <w:t>2</w:t>
            </w:r>
            <w:r>
              <w:rPr>
                <w:rFonts w:hint="eastAsia"/>
                <w:b/>
                <w:color w:val="auto"/>
                <w:szCs w:val="21"/>
                <w:highlight w:val="none"/>
              </w:rPr>
              <w:t>5</w:t>
            </w:r>
          </w:p>
        </w:tc>
        <w:tc>
          <w:tcPr>
            <w:tcW w:w="127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color w:val="auto"/>
                <w:szCs w:val="21"/>
                <w:highlight w:val="none"/>
              </w:rPr>
            </w:pPr>
            <w:r>
              <w:rPr>
                <w:color w:val="auto"/>
                <w:szCs w:val="20"/>
                <w:highlight w:val="none"/>
              </w:rPr>
              <w:t>代理服务费</w:t>
            </w:r>
          </w:p>
        </w:tc>
        <w:tc>
          <w:tcPr>
            <w:tcW w:w="7228" w:type="dxa"/>
            <w:tcBorders>
              <w:top w:val="single" w:color="auto" w:sz="4" w:space="0"/>
              <w:left w:val="single" w:color="auto" w:sz="4" w:space="0"/>
              <w:bottom w:val="single" w:color="auto" w:sz="4" w:space="0"/>
              <w:right w:val="single" w:color="auto" w:sz="4" w:space="0"/>
            </w:tcBorders>
            <w:vAlign w:val="center"/>
          </w:tcPr>
          <w:p>
            <w:pPr>
              <w:rPr>
                <w:color w:val="auto"/>
                <w:szCs w:val="21"/>
                <w:highlight w:val="none"/>
              </w:rPr>
            </w:pPr>
            <w:r>
              <w:rPr>
                <w:color w:val="auto"/>
                <w:szCs w:val="21"/>
                <w:highlight w:val="none"/>
              </w:rPr>
              <w:t>（1）</w:t>
            </w:r>
            <w:r>
              <w:rPr>
                <w:color w:val="auto"/>
                <w:szCs w:val="20"/>
                <w:highlight w:val="none"/>
              </w:rPr>
              <w:t>代理服务费</w:t>
            </w:r>
          </w:p>
          <w:p>
            <w:pPr>
              <w:spacing w:line="300" w:lineRule="exact"/>
              <w:jc w:val="left"/>
              <w:rPr>
                <w:color w:val="auto"/>
                <w:szCs w:val="21"/>
                <w:highlight w:val="none"/>
              </w:rPr>
            </w:pPr>
            <w:r>
              <w:rPr>
                <w:color w:val="auto"/>
                <w:szCs w:val="21"/>
                <w:highlight w:val="none"/>
              </w:rPr>
              <w:sym w:font="Wingdings 2" w:char="F052"/>
            </w:r>
            <w:r>
              <w:rPr>
                <w:color w:val="auto"/>
                <w:szCs w:val="21"/>
                <w:highlight w:val="none"/>
              </w:rPr>
              <w:t>采购代理机构向</w:t>
            </w:r>
            <w:r>
              <w:rPr>
                <w:rFonts w:hint="eastAsia"/>
                <w:color w:val="auto"/>
                <w:szCs w:val="21"/>
                <w:highlight w:val="none"/>
              </w:rPr>
              <w:t>成交供应商</w:t>
            </w:r>
            <w:r>
              <w:rPr>
                <w:color w:val="auto"/>
                <w:szCs w:val="21"/>
                <w:highlight w:val="none"/>
              </w:rPr>
              <w:t>收取代理服务费。本项目代理服务费</w:t>
            </w:r>
            <w:r>
              <w:rPr>
                <w:rFonts w:hint="eastAsia"/>
                <w:color w:val="auto"/>
                <w:szCs w:val="21"/>
                <w:highlight w:val="none"/>
              </w:rPr>
              <w:t>按照</w:t>
            </w:r>
            <w:r>
              <w:rPr>
                <w:color w:val="auto"/>
                <w:szCs w:val="21"/>
                <w:highlight w:val="none"/>
              </w:rPr>
              <w:t>《招标代理服务费管理暂行办法》 (计价格﹝2002﹞1980号)、《国家发展改革委关于降低部分建设项目收费标准规范收费行为等有关问题的通知》(发改价格﹝2011﹞534号)</w:t>
            </w:r>
            <w:r>
              <w:rPr>
                <w:rFonts w:hint="eastAsia"/>
                <w:color w:val="auto"/>
                <w:szCs w:val="21"/>
                <w:highlight w:val="none"/>
              </w:rPr>
              <w:t>的</w:t>
            </w:r>
            <w:r>
              <w:rPr>
                <w:color w:val="auto"/>
                <w:szCs w:val="21"/>
                <w:highlight w:val="none"/>
              </w:rPr>
              <w:t>规定</w:t>
            </w:r>
            <w:r>
              <w:rPr>
                <w:rFonts w:hint="eastAsia"/>
                <w:color w:val="auto"/>
                <w:szCs w:val="21"/>
                <w:highlight w:val="none"/>
              </w:rPr>
              <w:t>采用</w:t>
            </w: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w:t>
            </w:r>
            <w:r>
              <w:rPr>
                <w:color w:val="auto"/>
                <w:szCs w:val="21"/>
                <w:highlight w:val="none"/>
              </w:rPr>
              <w:t>具体费率</w:t>
            </w:r>
            <w:r>
              <w:rPr>
                <w:rFonts w:hint="eastAsia"/>
                <w:color w:val="auto"/>
                <w:szCs w:val="21"/>
                <w:highlight w:val="none"/>
              </w:rPr>
              <w:t>如下：</w:t>
            </w:r>
          </w:p>
          <w:p>
            <w:pPr>
              <w:spacing w:line="300" w:lineRule="exact"/>
              <w:jc w:val="left"/>
              <w:rPr>
                <w:color w:val="auto"/>
                <w:szCs w:val="21"/>
                <w:highlight w:val="none"/>
              </w:rPr>
            </w:pPr>
            <w:r>
              <w:rPr>
                <w:rFonts w:hint="eastAsia"/>
                <w:color w:val="auto"/>
                <w:szCs w:val="21"/>
                <w:highlight w:val="none"/>
              </w:rPr>
              <w:t>①成交金额在1</w:t>
            </w:r>
            <w:r>
              <w:rPr>
                <w:color w:val="auto"/>
                <w:szCs w:val="21"/>
                <w:highlight w:val="none"/>
              </w:rPr>
              <w:t>00</w:t>
            </w:r>
            <w:r>
              <w:rPr>
                <w:rFonts w:hint="eastAsia"/>
                <w:color w:val="auto"/>
                <w:szCs w:val="21"/>
                <w:highlight w:val="none"/>
              </w:rPr>
              <w:t>万元以下的：</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1.5％</w:t>
            </w:r>
            <w:r>
              <w:rPr>
                <w:rFonts w:hint="eastAsia"/>
                <w:color w:val="auto"/>
                <w:szCs w:val="21"/>
                <w:highlight w:val="none"/>
              </w:rPr>
              <w:t>；</w:t>
            </w:r>
            <w:r>
              <w:rPr>
                <w:color w:val="auto"/>
                <w:szCs w:val="21"/>
                <w:highlight w:val="none"/>
              </w:rPr>
              <w:t>服务1.5％</w:t>
            </w:r>
            <w:r>
              <w:rPr>
                <w:rFonts w:hint="eastAsia"/>
                <w:color w:val="auto"/>
                <w:szCs w:val="21"/>
                <w:highlight w:val="none"/>
              </w:rPr>
              <w:t>；</w:t>
            </w:r>
            <w:r>
              <w:rPr>
                <w:color w:val="auto"/>
                <w:szCs w:val="21"/>
                <w:highlight w:val="none"/>
              </w:rPr>
              <w:t>工程1.0％</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②成交金额在</w:t>
            </w:r>
            <w:r>
              <w:rPr>
                <w:color w:val="auto"/>
                <w:szCs w:val="21"/>
                <w:highlight w:val="none"/>
              </w:rPr>
              <w:t>100-500</w:t>
            </w:r>
            <w:r>
              <w:rPr>
                <w:rFonts w:hint="eastAsia"/>
                <w:color w:val="auto"/>
                <w:szCs w:val="21"/>
                <w:highlight w:val="none"/>
              </w:rPr>
              <w:t>万元之间：</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1.1％</w:t>
            </w:r>
            <w:r>
              <w:rPr>
                <w:rFonts w:hint="eastAsia"/>
                <w:color w:val="auto"/>
                <w:szCs w:val="21"/>
                <w:highlight w:val="none"/>
              </w:rPr>
              <w:t>；</w:t>
            </w:r>
            <w:r>
              <w:rPr>
                <w:color w:val="auto"/>
                <w:szCs w:val="21"/>
                <w:highlight w:val="none"/>
              </w:rPr>
              <w:t>服务0.8％</w:t>
            </w:r>
            <w:r>
              <w:rPr>
                <w:rFonts w:hint="eastAsia"/>
                <w:color w:val="auto"/>
                <w:szCs w:val="21"/>
                <w:highlight w:val="none"/>
              </w:rPr>
              <w:t>；</w:t>
            </w:r>
            <w:r>
              <w:rPr>
                <w:color w:val="auto"/>
                <w:szCs w:val="21"/>
                <w:highlight w:val="none"/>
              </w:rPr>
              <w:t>工程0.7％</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③成交金额在</w:t>
            </w:r>
            <w:r>
              <w:rPr>
                <w:color w:val="auto"/>
                <w:szCs w:val="21"/>
                <w:highlight w:val="none"/>
              </w:rPr>
              <w:t>5</w:t>
            </w:r>
            <w:r>
              <w:rPr>
                <w:rFonts w:hint="eastAsia"/>
                <w:color w:val="auto"/>
                <w:szCs w:val="21"/>
                <w:highlight w:val="none"/>
              </w:rPr>
              <w:t>0</w:t>
            </w:r>
            <w:r>
              <w:rPr>
                <w:color w:val="auto"/>
                <w:szCs w:val="21"/>
                <w:highlight w:val="none"/>
              </w:rPr>
              <w:t>0-1</w:t>
            </w:r>
            <w:r>
              <w:rPr>
                <w:rFonts w:hint="eastAsia"/>
                <w:color w:val="auto"/>
                <w:szCs w:val="21"/>
                <w:highlight w:val="none"/>
              </w:rPr>
              <w:t>00</w:t>
            </w:r>
            <w:r>
              <w:rPr>
                <w:color w:val="auto"/>
                <w:szCs w:val="21"/>
                <w:highlight w:val="none"/>
              </w:rPr>
              <w:t>0</w:t>
            </w:r>
            <w:r>
              <w:rPr>
                <w:rFonts w:hint="eastAsia"/>
                <w:color w:val="auto"/>
                <w:szCs w:val="21"/>
                <w:highlight w:val="none"/>
              </w:rPr>
              <w:t>万元之间：</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0.8％</w:t>
            </w:r>
            <w:r>
              <w:rPr>
                <w:rFonts w:hint="eastAsia"/>
                <w:color w:val="auto"/>
                <w:szCs w:val="21"/>
                <w:highlight w:val="none"/>
              </w:rPr>
              <w:t>；</w:t>
            </w:r>
            <w:r>
              <w:rPr>
                <w:color w:val="auto"/>
                <w:szCs w:val="21"/>
                <w:highlight w:val="none"/>
              </w:rPr>
              <w:t>服务0.45％</w:t>
            </w:r>
            <w:r>
              <w:rPr>
                <w:rFonts w:hint="eastAsia"/>
                <w:color w:val="auto"/>
                <w:szCs w:val="21"/>
                <w:highlight w:val="none"/>
              </w:rPr>
              <w:t>；</w:t>
            </w:r>
            <w:r>
              <w:rPr>
                <w:color w:val="auto"/>
                <w:szCs w:val="21"/>
                <w:highlight w:val="none"/>
              </w:rPr>
              <w:t>工程0.55％</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④成交金额在</w:t>
            </w:r>
            <w:r>
              <w:rPr>
                <w:color w:val="auto"/>
                <w:szCs w:val="21"/>
                <w:highlight w:val="none"/>
              </w:rPr>
              <w:t>1000-5000</w:t>
            </w:r>
            <w:r>
              <w:rPr>
                <w:rFonts w:hint="eastAsia"/>
                <w:color w:val="auto"/>
                <w:szCs w:val="21"/>
                <w:highlight w:val="none"/>
              </w:rPr>
              <w:t>万元之间：</w:t>
            </w:r>
          </w:p>
          <w:p>
            <w:pPr>
              <w:spacing w:line="300" w:lineRule="exact"/>
              <w:jc w:val="left"/>
              <w:rPr>
                <w:color w:val="auto"/>
                <w:szCs w:val="21"/>
                <w:highlight w:val="none"/>
              </w:rPr>
            </w:pPr>
            <w:r>
              <w:rPr>
                <w:rFonts w:hint="eastAsia"/>
                <w:color w:val="auto"/>
                <w:szCs w:val="21"/>
                <w:highlight w:val="none"/>
              </w:rPr>
              <w:t>货物</w:t>
            </w:r>
            <w:r>
              <w:rPr>
                <w:color w:val="auto"/>
                <w:szCs w:val="21"/>
                <w:highlight w:val="none"/>
              </w:rPr>
              <w:t>0.5％</w:t>
            </w:r>
            <w:r>
              <w:rPr>
                <w:rFonts w:hint="eastAsia"/>
                <w:color w:val="auto"/>
                <w:szCs w:val="21"/>
                <w:highlight w:val="none"/>
              </w:rPr>
              <w:t>；</w:t>
            </w:r>
            <w:r>
              <w:rPr>
                <w:color w:val="auto"/>
                <w:szCs w:val="21"/>
                <w:highlight w:val="none"/>
              </w:rPr>
              <w:t>服务0.25％</w:t>
            </w:r>
            <w:r>
              <w:rPr>
                <w:rFonts w:hint="eastAsia"/>
                <w:color w:val="auto"/>
                <w:szCs w:val="21"/>
                <w:highlight w:val="none"/>
              </w:rPr>
              <w:t>；</w:t>
            </w:r>
            <w:r>
              <w:rPr>
                <w:color w:val="auto"/>
                <w:szCs w:val="21"/>
                <w:highlight w:val="none"/>
              </w:rPr>
              <w:t>工程0.35％</w:t>
            </w:r>
            <w:r>
              <w:rPr>
                <w:rFonts w:hint="eastAsia"/>
                <w:color w:val="auto"/>
                <w:szCs w:val="21"/>
                <w:highlight w:val="none"/>
              </w:rPr>
              <w:t>；</w:t>
            </w:r>
          </w:p>
          <w:p>
            <w:pPr>
              <w:spacing w:line="300" w:lineRule="exact"/>
              <w:jc w:val="left"/>
              <w:rPr>
                <w:color w:val="auto"/>
                <w:szCs w:val="21"/>
                <w:highlight w:val="none"/>
              </w:rPr>
            </w:pPr>
            <w:r>
              <w:rPr>
                <w:rFonts w:hint="eastAsia"/>
                <w:color w:val="auto"/>
                <w:szCs w:val="21"/>
                <w:highlight w:val="none"/>
              </w:rPr>
              <w:t>……</w:t>
            </w:r>
          </w:p>
          <w:p>
            <w:pPr>
              <w:spacing w:line="300" w:lineRule="exact"/>
              <w:jc w:val="left"/>
              <w:rPr>
                <w:color w:val="auto"/>
                <w:szCs w:val="21"/>
                <w:highlight w:val="none"/>
              </w:rPr>
            </w:pPr>
            <w:r>
              <w:rPr>
                <w:color w:val="auto"/>
                <w:szCs w:val="21"/>
                <w:highlight w:val="none"/>
              </w:rPr>
              <w:t>差额定率累进</w:t>
            </w:r>
            <w:r>
              <w:rPr>
                <w:rFonts w:hint="eastAsia"/>
                <w:color w:val="auto"/>
                <w:szCs w:val="21"/>
                <w:highlight w:val="none"/>
              </w:rPr>
              <w:t>法</w:t>
            </w:r>
            <w:r>
              <w:rPr>
                <w:color w:val="auto"/>
                <w:szCs w:val="21"/>
                <w:highlight w:val="none"/>
              </w:rPr>
              <w:t>计算</w:t>
            </w:r>
            <w:r>
              <w:rPr>
                <w:rFonts w:hint="eastAsia"/>
                <w:color w:val="auto"/>
                <w:szCs w:val="21"/>
                <w:highlight w:val="none"/>
              </w:rPr>
              <w:t>过程示例：</w:t>
            </w:r>
          </w:p>
          <w:p>
            <w:pPr>
              <w:spacing w:line="300" w:lineRule="exact"/>
              <w:jc w:val="left"/>
              <w:rPr>
                <w:color w:val="auto"/>
                <w:szCs w:val="21"/>
                <w:highlight w:val="none"/>
              </w:rPr>
            </w:pPr>
            <w:r>
              <w:rPr>
                <w:color w:val="auto"/>
                <w:szCs w:val="21"/>
                <w:highlight w:val="none"/>
              </w:rPr>
              <w:t>例如：某货物</w:t>
            </w:r>
            <w:r>
              <w:rPr>
                <w:rFonts w:hint="eastAsia"/>
                <w:color w:val="auto"/>
                <w:szCs w:val="21"/>
                <w:highlight w:val="none"/>
              </w:rPr>
              <w:t>采购</w:t>
            </w:r>
            <w:r>
              <w:rPr>
                <w:color w:val="auto"/>
                <w:szCs w:val="21"/>
                <w:highlight w:val="none"/>
              </w:rPr>
              <w:t>代理业务成交金额为300万元，</w:t>
            </w:r>
            <w:r>
              <w:rPr>
                <w:rFonts w:hint="eastAsia"/>
                <w:color w:val="auto"/>
                <w:szCs w:val="21"/>
                <w:highlight w:val="none"/>
              </w:rPr>
              <w:t>采购</w:t>
            </w:r>
            <w:r>
              <w:rPr>
                <w:color w:val="auto"/>
                <w:szCs w:val="21"/>
                <w:highlight w:val="none"/>
              </w:rPr>
              <w:t>代理服务费金额按如下计算：</w:t>
            </w:r>
          </w:p>
          <w:p>
            <w:pPr>
              <w:spacing w:line="300" w:lineRule="exact"/>
              <w:jc w:val="left"/>
              <w:rPr>
                <w:color w:val="auto"/>
                <w:szCs w:val="21"/>
                <w:highlight w:val="none"/>
              </w:rPr>
            </w:pPr>
            <w:r>
              <w:rPr>
                <w:color w:val="auto"/>
                <w:szCs w:val="21"/>
                <w:highlight w:val="none"/>
              </w:rPr>
              <w:t>100万元×1.5%＝1.5万元</w:t>
            </w:r>
          </w:p>
          <w:p>
            <w:pPr>
              <w:spacing w:line="300" w:lineRule="exact"/>
              <w:jc w:val="left"/>
              <w:rPr>
                <w:color w:val="auto"/>
                <w:szCs w:val="21"/>
                <w:highlight w:val="none"/>
              </w:rPr>
            </w:pPr>
            <w:r>
              <w:rPr>
                <w:color w:val="auto"/>
                <w:szCs w:val="21"/>
                <w:highlight w:val="none"/>
              </w:rPr>
              <w:t>（300－100）万元×1.1%＝2.2万元</w:t>
            </w:r>
          </w:p>
          <w:p>
            <w:pPr>
              <w:spacing w:line="300" w:lineRule="exact"/>
              <w:jc w:val="left"/>
              <w:rPr>
                <w:color w:val="auto"/>
                <w:szCs w:val="21"/>
                <w:highlight w:val="none"/>
              </w:rPr>
            </w:pPr>
            <w:r>
              <w:rPr>
                <w:color w:val="auto"/>
                <w:szCs w:val="21"/>
                <w:highlight w:val="none"/>
              </w:rPr>
              <w:t>合计收费＝1.5＋2.2=3.7万元</w:t>
            </w:r>
          </w:p>
          <w:p>
            <w:pPr>
              <w:spacing w:line="300" w:lineRule="exact"/>
              <w:jc w:val="left"/>
              <w:rPr>
                <w:color w:val="auto"/>
                <w:szCs w:val="21"/>
                <w:highlight w:val="none"/>
                <w:u w:val="single"/>
              </w:rPr>
            </w:pPr>
            <w:r>
              <w:rPr>
                <w:color w:val="auto"/>
                <w:szCs w:val="21"/>
                <w:highlight w:val="none"/>
              </w:rPr>
              <w:sym w:font="Wingdings 2" w:char="F0A3"/>
            </w:r>
            <w:r>
              <w:rPr>
                <w:color w:val="auto"/>
                <w:szCs w:val="21"/>
                <w:highlight w:val="none"/>
              </w:rPr>
              <w:t>采购代理机构</w:t>
            </w:r>
            <w:r>
              <w:rPr>
                <w:color w:val="auto"/>
                <w:szCs w:val="20"/>
                <w:highlight w:val="none"/>
              </w:rPr>
              <w:t>向</w:t>
            </w:r>
            <w:r>
              <w:rPr>
                <w:rFonts w:hint="eastAsia"/>
                <w:color w:val="auto"/>
                <w:szCs w:val="20"/>
                <w:highlight w:val="none"/>
              </w:rPr>
              <w:t>成交供应商</w:t>
            </w:r>
            <w:r>
              <w:rPr>
                <w:color w:val="auto"/>
                <w:szCs w:val="20"/>
                <w:highlight w:val="none"/>
              </w:rPr>
              <w:t>收取代理服务费</w:t>
            </w:r>
            <w:r>
              <w:rPr>
                <w:rFonts w:hint="eastAsia"/>
                <w:color w:val="auto"/>
                <w:szCs w:val="20"/>
                <w:highlight w:val="none"/>
              </w:rPr>
              <w:t>，</w:t>
            </w:r>
            <w:r>
              <w:rPr>
                <w:color w:val="auto"/>
                <w:szCs w:val="20"/>
                <w:highlight w:val="none"/>
              </w:rPr>
              <w:t>具体金额为</w:t>
            </w:r>
            <w:r>
              <w:rPr>
                <w:rFonts w:hint="eastAsia"/>
                <w:color w:val="auto"/>
                <w:szCs w:val="20"/>
                <w:highlight w:val="none"/>
                <w:u w:val="single"/>
              </w:rPr>
              <w:t xml:space="preserve">             </w:t>
            </w:r>
            <w:r>
              <w:rPr>
                <w:rFonts w:hint="eastAsia"/>
                <w:color w:val="auto"/>
                <w:szCs w:val="20"/>
                <w:highlight w:val="none"/>
              </w:rPr>
              <w:t>。</w:t>
            </w:r>
          </w:p>
          <w:p>
            <w:pPr>
              <w:rPr>
                <w:color w:val="auto"/>
                <w:szCs w:val="21"/>
                <w:highlight w:val="none"/>
              </w:rPr>
            </w:pPr>
            <w:r>
              <w:rPr>
                <w:color w:val="auto"/>
                <w:szCs w:val="21"/>
                <w:highlight w:val="none"/>
              </w:rPr>
              <w:t>（2）</w:t>
            </w:r>
            <w:r>
              <w:rPr>
                <w:rFonts w:hint="eastAsia"/>
                <w:color w:val="auto"/>
                <w:szCs w:val="21"/>
                <w:highlight w:val="none"/>
              </w:rPr>
              <w:t>成交供应商</w:t>
            </w:r>
            <w:r>
              <w:rPr>
                <w:color w:val="auto"/>
                <w:szCs w:val="21"/>
                <w:highlight w:val="none"/>
              </w:rPr>
              <w:t>在</w:t>
            </w:r>
            <w:r>
              <w:rPr>
                <w:rFonts w:hint="eastAsia"/>
                <w:color w:val="auto"/>
                <w:szCs w:val="21"/>
                <w:highlight w:val="none"/>
              </w:rPr>
              <w:t>成交</w:t>
            </w:r>
            <w:r>
              <w:rPr>
                <w:color w:val="auto"/>
                <w:szCs w:val="21"/>
                <w:highlight w:val="none"/>
              </w:rPr>
              <w:t>通知书发出前以银行转账或现金形式支付代理服务费；采购代理机构也可以从</w:t>
            </w:r>
            <w:r>
              <w:rPr>
                <w:rFonts w:hint="eastAsia"/>
                <w:color w:val="auto"/>
                <w:szCs w:val="21"/>
                <w:highlight w:val="none"/>
              </w:rPr>
              <w:t>成交供应商</w:t>
            </w:r>
            <w:r>
              <w:rPr>
                <w:color w:val="auto"/>
                <w:szCs w:val="21"/>
                <w:highlight w:val="none"/>
              </w:rPr>
              <w:t>的谈判保证金中扣除上述金额的代理服务费，余款按供应商所汇入谈判保证金的账户原路退回，如无法原路返回，则按《代理服务费承诺书》列明的账户退回。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26</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Arial" w:hAnsi="Arial" w:cs="Arial"/>
                <w:color w:val="auto"/>
                <w:highlight w:val="none"/>
              </w:rPr>
            </w:pPr>
            <w:r>
              <w:rPr>
                <w:rFonts w:ascii="Arial" w:hAnsi="Arial" w:cs="Arial"/>
                <w:color w:val="auto"/>
                <w:highlight w:val="none"/>
              </w:rPr>
              <w:t>本</w:t>
            </w:r>
            <w:r>
              <w:rPr>
                <w:rFonts w:ascii="Arial" w:hAnsi="Arial" w:cs="Arial"/>
                <w:color w:val="auto"/>
                <w:szCs w:val="21"/>
                <w:highlight w:val="none"/>
              </w:rPr>
              <w:t>谈判</w:t>
            </w:r>
            <w:r>
              <w:rPr>
                <w:rFonts w:ascii="Arial" w:hAnsi="Arial" w:cs="Arial"/>
                <w:color w:val="auto"/>
                <w:highlight w:val="none"/>
              </w:rPr>
              <w:t>文件是根据国家有关法律及有关政策、法规编制，解释权属采购代理机构。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color w:val="auto"/>
                <w:szCs w:val="21"/>
                <w:highlight w:val="none"/>
              </w:rPr>
            </w:pPr>
            <w:r>
              <w:rPr>
                <w:rFonts w:hint="eastAsia"/>
                <w:b/>
                <w:color w:val="auto"/>
                <w:szCs w:val="21"/>
                <w:highlight w:val="none"/>
              </w:rPr>
              <w:t>27</w:t>
            </w:r>
          </w:p>
        </w:tc>
        <w:tc>
          <w:tcPr>
            <w:tcW w:w="850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color w:val="auto"/>
                <w:highlight w:val="none"/>
              </w:rPr>
            </w:pPr>
            <w:r>
              <w:rPr>
                <w:rFonts w:hint="eastAsia" w:cs="宋体"/>
                <w:color w:val="auto"/>
                <w:highlight w:val="none"/>
              </w:rPr>
              <w:t>构成本采购文件的各个组成文件应互为解释，互为说明；</w:t>
            </w:r>
          </w:p>
          <w:p>
            <w:pPr>
              <w:spacing w:line="300" w:lineRule="exact"/>
              <w:jc w:val="left"/>
              <w:rPr>
                <w:rFonts w:cs="宋体"/>
                <w:color w:val="auto"/>
                <w:highlight w:val="none"/>
              </w:rPr>
            </w:pPr>
            <w:r>
              <w:rPr>
                <w:rFonts w:hint="eastAsia" w:cs="宋体"/>
                <w:color w:val="auto"/>
                <w:highlight w:val="none"/>
              </w:rPr>
              <w:t>1</w:t>
            </w:r>
            <w:r>
              <w:rPr>
                <w:rFonts w:cs="宋体"/>
                <w:color w:val="auto"/>
                <w:highlight w:val="none"/>
              </w:rPr>
              <w:t>.</w:t>
            </w:r>
            <w:r>
              <w:rPr>
                <w:rFonts w:hint="eastAsia" w:cs="宋体"/>
                <w:color w:val="auto"/>
                <w:highlight w:val="none"/>
              </w:rPr>
              <w:t>如有不明确或不一致，构成合同文件组成内容的，以合同文件约定内容为准；</w:t>
            </w:r>
          </w:p>
          <w:p>
            <w:pPr>
              <w:spacing w:line="300" w:lineRule="exact"/>
              <w:jc w:val="left"/>
              <w:rPr>
                <w:color w:val="auto"/>
                <w:highlight w:val="none"/>
              </w:rPr>
            </w:pPr>
            <w:r>
              <w:rPr>
                <w:rFonts w:cs="宋体"/>
                <w:color w:val="auto"/>
                <w:highlight w:val="none"/>
              </w:rPr>
              <w:t>2.</w:t>
            </w:r>
            <w:r>
              <w:rPr>
                <w:rFonts w:hint="eastAsia" w:cs="宋体"/>
                <w:color w:val="auto"/>
                <w:highlight w:val="none"/>
              </w:rPr>
              <w:t>除采购文件中有特别规定外，仅适用于招标投标阶段的规定，按补遗或澄清文件、竞争性谈判公告、项目采购需求、供应商须知、评审方法及评审标准、响应文件格式的先后顺序解释；</w:t>
            </w:r>
          </w:p>
        </w:tc>
      </w:tr>
    </w:tbl>
    <w:p>
      <w:pPr>
        <w:spacing w:before="120" w:line="320" w:lineRule="atLeast"/>
        <w:rPr>
          <w:rFonts w:ascii="Arial" w:hAnsi="Arial" w:cs="Arial"/>
          <w:bCs/>
          <w:color w:val="auto"/>
          <w:kern w:val="0"/>
          <w:sz w:val="28"/>
          <w:szCs w:val="28"/>
          <w:highlight w:val="none"/>
        </w:rPr>
        <w:sectPr>
          <w:pgSz w:w="11906" w:h="16838"/>
          <w:pgMar w:top="850" w:right="1133" w:bottom="850" w:left="1134" w:header="454" w:footer="454" w:gutter="0"/>
          <w:cols w:space="720" w:num="1"/>
          <w:titlePg/>
          <w:docGrid w:linePitch="312" w:charSpace="0"/>
        </w:sectPr>
      </w:pPr>
    </w:p>
    <w:p>
      <w:pPr>
        <w:pStyle w:val="23"/>
        <w:snapToGrid w:val="0"/>
        <w:spacing w:before="120" w:after="120" w:line="320" w:lineRule="exact"/>
        <w:jc w:val="center"/>
        <w:outlineLvl w:val="0"/>
        <w:rPr>
          <w:rFonts w:ascii="Arial" w:hAnsi="Arial" w:cs="Arial"/>
          <w:color w:val="auto"/>
          <w:sz w:val="32"/>
          <w:szCs w:val="32"/>
          <w:highlight w:val="none"/>
        </w:rPr>
      </w:pPr>
      <w:bookmarkStart w:id="16" w:name="_Toc489863687"/>
      <w:bookmarkStart w:id="17" w:name="_Toc12413"/>
      <w:bookmarkStart w:id="18" w:name="_Toc254970549"/>
      <w:bookmarkStart w:id="19" w:name="_Toc254970690"/>
      <w:r>
        <w:rPr>
          <w:rFonts w:ascii="Arial" w:hAnsi="Arial" w:cs="Arial"/>
          <w:color w:val="auto"/>
          <w:sz w:val="32"/>
          <w:szCs w:val="32"/>
          <w:highlight w:val="none"/>
        </w:rPr>
        <w:t>第四章  评审方法及评审标准</w:t>
      </w:r>
      <w:bookmarkEnd w:id="16"/>
      <w:bookmarkEnd w:id="17"/>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一、评审方法</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color w:val="auto"/>
          <w:kern w:val="1"/>
          <w:szCs w:val="21"/>
          <w:highlight w:val="none"/>
        </w:rPr>
        <w:t>1、</w:t>
      </w:r>
      <w:r>
        <w:rPr>
          <w:rFonts w:ascii="Arial" w:hAnsi="Arial" w:cs="Arial"/>
          <w:bCs/>
          <w:color w:val="auto"/>
          <w:kern w:val="1"/>
          <w:szCs w:val="21"/>
          <w:highlight w:val="none"/>
        </w:rPr>
        <w:t>评审方法</w:t>
      </w:r>
    </w:p>
    <w:p>
      <w:pPr>
        <w:suppressAutoHyphens/>
        <w:spacing w:before="120" w:line="320" w:lineRule="atLeast"/>
        <w:ind w:firstLine="420" w:firstLineChars="200"/>
        <w:rPr>
          <w:rFonts w:ascii="Arial" w:hAnsi="Arial" w:cs="Arial"/>
          <w:color w:val="auto"/>
          <w:highlight w:val="none"/>
        </w:rPr>
      </w:pPr>
      <w:r>
        <w:rPr>
          <w:rFonts w:ascii="Arial" w:hAnsi="Arial" w:cs="Arial"/>
          <w:color w:val="auto"/>
          <w:szCs w:val="21"/>
          <w:highlight w:val="none"/>
        </w:rPr>
        <w:t>本项目采用</w:t>
      </w:r>
      <w:r>
        <w:rPr>
          <w:rFonts w:ascii="Arial" w:hAnsi="Arial" w:cs="Arial"/>
          <w:bCs/>
          <w:color w:val="auto"/>
          <w:kern w:val="1"/>
          <w:szCs w:val="21"/>
          <w:highlight w:val="none"/>
        </w:rPr>
        <w:t>最低评标价法</w:t>
      </w:r>
      <w:r>
        <w:rPr>
          <w:rFonts w:ascii="Arial" w:hAnsi="Arial" w:cs="Arial"/>
          <w:color w:val="auto"/>
          <w:szCs w:val="21"/>
          <w:highlight w:val="none"/>
        </w:rPr>
        <w:t>进行评审</w:t>
      </w:r>
      <w:r>
        <w:rPr>
          <w:rFonts w:ascii="Arial" w:hAnsi="Arial" w:cs="Arial"/>
          <w:bCs/>
          <w:color w:val="auto"/>
          <w:kern w:val="1"/>
          <w:szCs w:val="21"/>
          <w:highlight w:val="none"/>
        </w:rPr>
        <w:t>。</w:t>
      </w:r>
      <w:r>
        <w:rPr>
          <w:rFonts w:ascii="Arial" w:hAnsi="Arial" w:cs="Arial"/>
          <w:color w:val="auto"/>
          <w:szCs w:val="21"/>
          <w:highlight w:val="none"/>
        </w:rPr>
        <w:t>最低评标价法，是指响应文件满足谈判文件全部实质性要求且谈判报价最低的供应商为成交候选人的评审方法。</w:t>
      </w:r>
      <w:r>
        <w:rPr>
          <w:rFonts w:ascii="Arial" w:hAnsi="Arial" w:cs="Arial"/>
          <w:color w:val="auto"/>
          <w:highlight w:val="none"/>
        </w:rPr>
        <w:t xml:space="preserve"> </w:t>
      </w:r>
    </w:p>
    <w:p>
      <w:pPr>
        <w:suppressAutoHyphens/>
        <w:spacing w:before="120" w:line="320" w:lineRule="atLeast"/>
        <w:ind w:firstLine="420" w:firstLineChars="200"/>
        <w:rPr>
          <w:rFonts w:ascii="Arial" w:hAnsi="Arial" w:cs="Arial"/>
          <w:bCs/>
          <w:color w:val="auto"/>
          <w:kern w:val="1"/>
          <w:szCs w:val="21"/>
          <w:highlight w:val="none"/>
          <w:lang w:eastAsia="ar-SA"/>
        </w:rPr>
      </w:pPr>
      <w:r>
        <w:rPr>
          <w:rFonts w:ascii="Arial" w:hAnsi="Arial" w:cs="Arial"/>
          <w:color w:val="auto"/>
          <w:kern w:val="1"/>
          <w:szCs w:val="21"/>
          <w:highlight w:val="none"/>
        </w:rPr>
        <w:t>2．</w:t>
      </w:r>
      <w:r>
        <w:rPr>
          <w:rFonts w:ascii="Arial" w:hAnsi="Arial" w:cs="Arial"/>
          <w:bCs/>
          <w:color w:val="auto"/>
          <w:kern w:val="1"/>
          <w:szCs w:val="21"/>
          <w:highlight w:val="none"/>
        </w:rPr>
        <w:t>评审</w:t>
      </w:r>
      <w:r>
        <w:rPr>
          <w:rFonts w:ascii="Arial" w:hAnsi="Arial" w:cs="Arial"/>
          <w:bCs/>
          <w:color w:val="auto"/>
          <w:kern w:val="1"/>
          <w:szCs w:val="21"/>
          <w:highlight w:val="none"/>
          <w:lang w:eastAsia="ar-SA"/>
        </w:rPr>
        <w:t>依据</w:t>
      </w:r>
      <w:bookmarkStart w:id="20" w:name="_Hlk19051732"/>
    </w:p>
    <w:p>
      <w:pPr>
        <w:suppressAutoHyphens/>
        <w:spacing w:before="120" w:line="320" w:lineRule="atLeast"/>
        <w:ind w:firstLine="420" w:firstLineChars="200"/>
        <w:rPr>
          <w:rFonts w:ascii="Arial" w:hAnsi="Arial" w:cs="Arial"/>
          <w:color w:val="auto"/>
          <w:kern w:val="1"/>
          <w:szCs w:val="21"/>
          <w:highlight w:val="none"/>
        </w:rPr>
      </w:pPr>
      <w:r>
        <w:rPr>
          <w:rFonts w:ascii="Arial" w:hAnsi="Arial" w:cs="Arial"/>
          <w:bCs/>
          <w:color w:val="auto"/>
          <w:kern w:val="1"/>
          <w:szCs w:val="21"/>
          <w:highlight w:val="none"/>
        </w:rPr>
        <w:t>谈判</w:t>
      </w:r>
      <w:r>
        <w:rPr>
          <w:rFonts w:ascii="Arial" w:hAnsi="Arial" w:cs="Arial"/>
          <w:bCs/>
          <w:color w:val="auto"/>
          <w:kern w:val="1"/>
          <w:szCs w:val="21"/>
          <w:highlight w:val="none"/>
          <w:lang w:eastAsia="ar-SA"/>
        </w:rPr>
        <w:t>小组以</w:t>
      </w:r>
      <w:r>
        <w:rPr>
          <w:rFonts w:ascii="Arial" w:hAnsi="Arial" w:cs="Arial"/>
          <w:bCs/>
          <w:color w:val="auto"/>
          <w:kern w:val="1"/>
          <w:szCs w:val="21"/>
          <w:highlight w:val="none"/>
        </w:rPr>
        <w:t>谈判</w:t>
      </w:r>
      <w:r>
        <w:rPr>
          <w:rFonts w:ascii="Arial" w:hAnsi="Arial" w:cs="Arial"/>
          <w:color w:val="auto"/>
          <w:kern w:val="1"/>
          <w:szCs w:val="21"/>
          <w:highlight w:val="none"/>
        </w:rPr>
        <w:t>文件、补充文件、响应文件、澄清及答复</w:t>
      </w:r>
      <w:r>
        <w:rPr>
          <w:rFonts w:ascii="Arial" w:hAnsi="Arial" w:cs="Arial"/>
          <w:bCs/>
          <w:color w:val="auto"/>
          <w:kern w:val="1"/>
          <w:szCs w:val="21"/>
          <w:highlight w:val="none"/>
          <w:lang w:eastAsia="ar-SA"/>
        </w:rPr>
        <w:t>为评</w:t>
      </w:r>
      <w:r>
        <w:rPr>
          <w:rFonts w:ascii="Arial" w:hAnsi="Arial" w:cs="Arial"/>
          <w:bCs/>
          <w:color w:val="auto"/>
          <w:kern w:val="1"/>
          <w:szCs w:val="21"/>
          <w:highlight w:val="none"/>
        </w:rPr>
        <w:t>审</w:t>
      </w:r>
      <w:r>
        <w:rPr>
          <w:rFonts w:ascii="Arial" w:hAnsi="Arial" w:cs="Arial"/>
          <w:bCs/>
          <w:color w:val="auto"/>
          <w:kern w:val="1"/>
          <w:szCs w:val="21"/>
          <w:highlight w:val="none"/>
          <w:lang w:eastAsia="ar-SA"/>
        </w:rPr>
        <w:t>依据。</w:t>
      </w:r>
      <w:bookmarkEnd w:id="20"/>
    </w:p>
    <w:p>
      <w:pPr>
        <w:suppressAutoHyphens/>
        <w:spacing w:before="120" w:line="320" w:lineRule="atLeast"/>
        <w:ind w:firstLine="420" w:firstLineChars="200"/>
        <w:rPr>
          <w:rFonts w:ascii="Arial" w:hAnsi="Arial" w:cs="Arial"/>
          <w:bCs/>
          <w:color w:val="auto"/>
          <w:kern w:val="1"/>
          <w:szCs w:val="21"/>
          <w:highlight w:val="none"/>
          <w:lang w:eastAsia="ar-SA"/>
        </w:rPr>
      </w:pPr>
      <w:r>
        <w:rPr>
          <w:rFonts w:ascii="Arial" w:hAnsi="Arial" w:cs="Arial"/>
          <w:color w:val="auto"/>
          <w:kern w:val="1"/>
          <w:szCs w:val="21"/>
          <w:highlight w:val="none"/>
        </w:rPr>
        <w:t>3．</w:t>
      </w:r>
      <w:r>
        <w:rPr>
          <w:rFonts w:ascii="Arial" w:hAnsi="Arial" w:cs="Arial"/>
          <w:bCs/>
          <w:color w:val="auto"/>
          <w:kern w:val="1"/>
          <w:szCs w:val="21"/>
          <w:highlight w:val="none"/>
        </w:rPr>
        <w:t>谈判</w:t>
      </w:r>
      <w:r>
        <w:rPr>
          <w:rFonts w:ascii="Arial" w:hAnsi="Arial" w:cs="Arial"/>
          <w:bCs/>
          <w:color w:val="auto"/>
          <w:kern w:val="1"/>
          <w:szCs w:val="21"/>
          <w:highlight w:val="none"/>
          <w:lang w:eastAsia="ar-SA"/>
        </w:rPr>
        <w:t>小组</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color w:val="auto"/>
          <w:szCs w:val="21"/>
          <w:highlight w:val="none"/>
        </w:rPr>
        <w:t>本项目</w:t>
      </w:r>
      <w:r>
        <w:rPr>
          <w:rFonts w:ascii="Arial" w:hAnsi="Arial" w:cs="Arial"/>
          <w:bCs/>
          <w:color w:val="auto"/>
          <w:kern w:val="1"/>
          <w:szCs w:val="21"/>
          <w:highlight w:val="none"/>
        </w:rPr>
        <w:t>谈判</w:t>
      </w:r>
      <w:r>
        <w:rPr>
          <w:rFonts w:ascii="Arial" w:hAnsi="Arial" w:cs="Arial"/>
          <w:color w:val="auto"/>
          <w:szCs w:val="21"/>
          <w:highlight w:val="none"/>
        </w:rPr>
        <w:t>小组由采购评审专家组成</w:t>
      </w:r>
      <w:bookmarkStart w:id="21" w:name="_Hlk87870341"/>
      <w:r>
        <w:rPr>
          <w:rFonts w:hint="eastAsia"/>
          <w:color w:val="auto"/>
          <w:szCs w:val="21"/>
          <w:highlight w:val="none"/>
        </w:rPr>
        <w:t>，评审专家抽取方式为专家库随机抽取。</w:t>
      </w:r>
      <w:bookmarkEnd w:id="21"/>
      <w:r>
        <w:rPr>
          <w:rFonts w:ascii="Arial" w:hAnsi="Arial" w:cs="Arial"/>
          <w:color w:val="auto"/>
          <w:szCs w:val="21"/>
          <w:highlight w:val="none"/>
        </w:rPr>
        <w:t xml:space="preserve">谈判小组必须公平、公正、客观，不带任何倾向性和启发性；不得向外界透露任何与评审有关的内容；任何单位和个人不得干扰、影响评审的正常进行；谈判小组及有关工作人员不得私下与供应商接触。评审专家发现本人与参加采购活动的供应商有利害关系的，应当主动提出回避。 </w:t>
      </w:r>
    </w:p>
    <w:p>
      <w:pPr>
        <w:suppressAutoHyphens/>
        <w:spacing w:before="120" w:line="320" w:lineRule="atLeast"/>
        <w:ind w:left="2" w:leftChars="1" w:firstLine="422" w:firstLineChars="200"/>
        <w:outlineLvl w:val="1"/>
        <w:rPr>
          <w:rFonts w:ascii="Arial" w:hAnsi="Arial" w:cs="Arial"/>
          <w:b/>
          <w:bCs/>
          <w:color w:val="auto"/>
          <w:kern w:val="0"/>
          <w:szCs w:val="21"/>
          <w:highlight w:val="none"/>
        </w:rPr>
      </w:pPr>
      <w:r>
        <w:rPr>
          <w:rFonts w:ascii="Arial" w:hAnsi="Arial" w:cs="Arial"/>
          <w:b/>
          <w:bCs/>
          <w:color w:val="auto"/>
          <w:kern w:val="0"/>
          <w:szCs w:val="21"/>
          <w:highlight w:val="none"/>
        </w:rPr>
        <w:t>二、评审程序</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1、评审响应文件。</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2、谈判。</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3、重新提交响应文件（如谈判文件有实质性变动或谈判后确定最终设计解决方案）。</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4、最后报价。</w:t>
      </w:r>
    </w:p>
    <w:p>
      <w:pPr>
        <w:suppressAutoHyphens/>
        <w:spacing w:before="120" w:line="320" w:lineRule="atLeast"/>
        <w:ind w:firstLine="420" w:firstLineChars="200"/>
        <w:rPr>
          <w:rFonts w:ascii="Arial" w:hAnsi="Arial" w:cs="Arial"/>
          <w:bCs/>
          <w:color w:val="auto"/>
          <w:kern w:val="1"/>
          <w:szCs w:val="21"/>
          <w:highlight w:val="none"/>
        </w:rPr>
      </w:pPr>
      <w:r>
        <w:rPr>
          <w:rFonts w:ascii="Arial" w:hAnsi="Arial" w:cs="Arial"/>
          <w:bCs/>
          <w:color w:val="auto"/>
          <w:kern w:val="1"/>
          <w:szCs w:val="21"/>
          <w:highlight w:val="none"/>
        </w:rPr>
        <w:t>5、推荐成交候选供应商名单。</w:t>
      </w:r>
    </w:p>
    <w:p>
      <w:pPr>
        <w:suppressAutoHyphens/>
        <w:spacing w:before="120" w:line="320" w:lineRule="atLeast"/>
        <w:ind w:left="2" w:leftChars="1" w:firstLine="422" w:firstLineChars="200"/>
        <w:outlineLvl w:val="1"/>
        <w:rPr>
          <w:rFonts w:ascii="Arial" w:hAnsi="Arial" w:cs="Arial"/>
          <w:b/>
          <w:color w:val="auto"/>
          <w:kern w:val="1"/>
          <w:szCs w:val="21"/>
          <w:highlight w:val="none"/>
        </w:rPr>
      </w:pPr>
      <w:r>
        <w:rPr>
          <w:rFonts w:ascii="Arial" w:hAnsi="Arial" w:cs="Arial"/>
          <w:b/>
          <w:bCs/>
          <w:color w:val="auto"/>
          <w:kern w:val="0"/>
          <w:szCs w:val="21"/>
          <w:highlight w:val="none"/>
        </w:rPr>
        <w:t>三</w:t>
      </w:r>
      <w:r>
        <w:rPr>
          <w:rFonts w:ascii="Arial" w:hAnsi="Arial" w:cs="Arial"/>
          <w:b/>
          <w:bCs/>
          <w:color w:val="auto"/>
          <w:kern w:val="0"/>
          <w:szCs w:val="21"/>
          <w:highlight w:val="none"/>
          <w:lang w:eastAsia="ar-SA"/>
        </w:rPr>
        <w:t>、评</w:t>
      </w:r>
      <w:r>
        <w:rPr>
          <w:rFonts w:ascii="Arial" w:hAnsi="Arial" w:cs="Arial"/>
          <w:b/>
          <w:bCs/>
          <w:color w:val="auto"/>
          <w:kern w:val="0"/>
          <w:szCs w:val="21"/>
          <w:highlight w:val="none"/>
        </w:rPr>
        <w:t>审内容</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1、资格审查</w:t>
      </w:r>
    </w:p>
    <w:p>
      <w:pPr>
        <w:suppressAutoHyphens/>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谈判小组对所有供应商的响应文件进行资格审查。</w:t>
      </w:r>
      <w:r>
        <w:rPr>
          <w:rFonts w:ascii="Arial" w:hAnsi="Arial" w:cs="Arial"/>
          <w:color w:val="auto"/>
          <w:szCs w:val="21"/>
          <w:highlight w:val="none"/>
        </w:rPr>
        <w:t>以确定供应商是否具备</w:t>
      </w:r>
      <w:r>
        <w:rPr>
          <w:rFonts w:ascii="Arial" w:hAnsi="Arial" w:cs="Arial"/>
          <w:color w:val="auto"/>
          <w:highlight w:val="none"/>
        </w:rPr>
        <w:t>谈判</w:t>
      </w:r>
      <w:r>
        <w:rPr>
          <w:rFonts w:ascii="Arial" w:hAnsi="Arial" w:cs="Arial"/>
          <w:color w:val="auto"/>
          <w:szCs w:val="21"/>
          <w:highlight w:val="none"/>
        </w:rPr>
        <w:t>资格。资格审查表如下，缺少任何一项或有任何一项不合格者，其资格审查视为不合格。</w:t>
      </w:r>
    </w:p>
    <w:tbl>
      <w:tblPr>
        <w:tblStyle w:val="4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84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75" w:type="dxa"/>
            <w:vAlign w:val="center"/>
          </w:tcPr>
          <w:p>
            <w:pPr>
              <w:spacing w:line="240" w:lineRule="exact"/>
              <w:jc w:val="center"/>
              <w:rPr>
                <w:rFonts w:ascii="Arial" w:hAnsi="Arial" w:cs="Arial"/>
                <w:b/>
                <w:color w:val="auto"/>
                <w:kern w:val="0"/>
                <w:szCs w:val="21"/>
                <w:highlight w:val="none"/>
              </w:rPr>
            </w:pPr>
            <w:r>
              <w:rPr>
                <w:rFonts w:ascii="Arial" w:hAnsi="Arial" w:cs="Arial"/>
                <w:b/>
                <w:color w:val="auto"/>
                <w:kern w:val="0"/>
                <w:szCs w:val="21"/>
                <w:highlight w:val="none"/>
              </w:rPr>
              <w:t>序号</w:t>
            </w:r>
          </w:p>
        </w:tc>
        <w:tc>
          <w:tcPr>
            <w:tcW w:w="2694" w:type="dxa"/>
            <w:gridSpan w:val="2"/>
            <w:vAlign w:val="center"/>
          </w:tcPr>
          <w:p>
            <w:pPr>
              <w:spacing w:line="240" w:lineRule="exact"/>
              <w:jc w:val="center"/>
              <w:rPr>
                <w:rFonts w:ascii="Arial" w:hAnsi="Arial" w:cs="Arial"/>
                <w:b/>
                <w:color w:val="auto"/>
                <w:kern w:val="0"/>
                <w:szCs w:val="21"/>
                <w:highlight w:val="none"/>
              </w:rPr>
            </w:pPr>
            <w:r>
              <w:rPr>
                <w:rFonts w:ascii="Arial" w:hAnsi="Arial" w:cs="Arial"/>
                <w:b/>
                <w:color w:val="auto"/>
                <w:kern w:val="0"/>
                <w:szCs w:val="21"/>
                <w:highlight w:val="none"/>
              </w:rPr>
              <w:t>评审因素</w:t>
            </w:r>
          </w:p>
        </w:tc>
        <w:tc>
          <w:tcPr>
            <w:tcW w:w="6237" w:type="dxa"/>
            <w:vAlign w:val="center"/>
          </w:tcPr>
          <w:p>
            <w:pPr>
              <w:spacing w:line="240" w:lineRule="exact"/>
              <w:jc w:val="center"/>
              <w:rPr>
                <w:rFonts w:ascii="Arial" w:hAnsi="Arial" w:cs="Arial"/>
                <w:b/>
                <w:color w:val="auto"/>
                <w:kern w:val="0"/>
                <w:szCs w:val="21"/>
                <w:highlight w:val="none"/>
              </w:rPr>
            </w:pPr>
            <w:r>
              <w:rPr>
                <w:rFonts w:ascii="Arial" w:hAnsi="Arial" w:cs="Arial"/>
                <w:b/>
                <w:color w:val="auto"/>
                <w:kern w:val="0"/>
                <w:szCs w:val="21"/>
                <w:highlight w:val="none"/>
              </w:rPr>
              <w:t>评审内容及评审标准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675" w:type="dxa"/>
            <w:vMerge w:val="restart"/>
            <w:vAlign w:val="center"/>
          </w:tcPr>
          <w:p>
            <w:pPr>
              <w:spacing w:line="240" w:lineRule="exact"/>
              <w:jc w:val="center"/>
              <w:rPr>
                <w:rFonts w:ascii="Arial" w:hAnsi="Arial" w:cs="Arial"/>
                <w:color w:val="auto"/>
                <w:szCs w:val="21"/>
                <w:highlight w:val="none"/>
              </w:rPr>
            </w:pPr>
            <w:r>
              <w:rPr>
                <w:rFonts w:ascii="Arial" w:hAnsi="Arial" w:cs="Arial"/>
                <w:color w:val="auto"/>
                <w:szCs w:val="21"/>
                <w:highlight w:val="none"/>
              </w:rPr>
              <w:t>1</w:t>
            </w:r>
          </w:p>
        </w:tc>
        <w:tc>
          <w:tcPr>
            <w:tcW w:w="851" w:type="dxa"/>
            <w:vMerge w:val="restart"/>
            <w:vAlign w:val="center"/>
          </w:tcPr>
          <w:p>
            <w:pPr>
              <w:spacing w:line="240" w:lineRule="exact"/>
              <w:rPr>
                <w:rFonts w:ascii="Arial" w:hAnsi="Arial" w:cs="Arial"/>
                <w:color w:val="auto"/>
                <w:szCs w:val="21"/>
                <w:highlight w:val="none"/>
                <w:lang w:val="zh-CN"/>
              </w:rPr>
            </w:pPr>
            <w:r>
              <w:rPr>
                <w:rFonts w:ascii="Arial" w:hAnsi="Arial" w:cs="Arial"/>
                <w:color w:val="auto"/>
                <w:szCs w:val="21"/>
                <w:highlight w:val="none"/>
                <w:lang w:val="zh-CN"/>
              </w:rPr>
              <w:t>供应商应符合的基本资格条件</w:t>
            </w:r>
          </w:p>
        </w:tc>
        <w:tc>
          <w:tcPr>
            <w:tcW w:w="1843" w:type="dxa"/>
            <w:vAlign w:val="center"/>
          </w:tcPr>
          <w:p>
            <w:pPr>
              <w:spacing w:line="240" w:lineRule="exact"/>
              <w:rPr>
                <w:rFonts w:ascii="Arial" w:hAnsi="Arial" w:cs="Arial"/>
                <w:color w:val="auto"/>
                <w:szCs w:val="21"/>
                <w:highlight w:val="none"/>
              </w:rPr>
            </w:pPr>
            <w:r>
              <w:rPr>
                <w:rFonts w:ascii="Arial" w:hAnsi="Arial" w:cs="Arial"/>
                <w:color w:val="auto"/>
                <w:szCs w:val="21"/>
                <w:highlight w:val="none"/>
              </w:rPr>
              <w:t>（1）具有独立承担民事责任的能力</w:t>
            </w:r>
          </w:p>
        </w:tc>
        <w:tc>
          <w:tcPr>
            <w:tcW w:w="6237" w:type="dxa"/>
          </w:tcPr>
          <w:p>
            <w:pPr>
              <w:spacing w:line="240" w:lineRule="exact"/>
              <w:jc w:val="left"/>
              <w:rPr>
                <w:color w:val="auto"/>
                <w:szCs w:val="21"/>
                <w:highlight w:val="none"/>
              </w:rPr>
            </w:pPr>
            <w:r>
              <w:rPr>
                <w:color w:val="auto"/>
                <w:szCs w:val="21"/>
                <w:highlight w:val="none"/>
              </w:rPr>
              <w:t>审查法人或者其他组织的营业执照等证明文件。须按以下要求提供，材料须有效。</w:t>
            </w:r>
          </w:p>
          <w:p>
            <w:pPr>
              <w:spacing w:line="240" w:lineRule="exact"/>
              <w:jc w:val="left"/>
              <w:rPr>
                <w:rFonts w:ascii="Arial" w:hAnsi="Arial" w:cs="Arial"/>
                <w:color w:val="auto"/>
                <w:szCs w:val="21"/>
                <w:highlight w:val="none"/>
              </w:rPr>
            </w:pPr>
            <w:r>
              <w:rPr>
                <w:color w:val="auto"/>
                <w:szCs w:val="21"/>
                <w:highlight w:val="none"/>
              </w:rPr>
              <w:t>供应商是企业则审查营业执照（副本）复印件；供应商是事业单位，则审查事业单位法人证书（副本）复印件；供应商是非企业专业服务机构的，则审查执业许可证等证明文件复印件；供应商是个体工商户，则审查个体工商户营业执照复印件；如供应商不是以上所列的法人、组织的，则提供国家规定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lang w:val="zh-CN"/>
              </w:rPr>
            </w:pPr>
          </w:p>
        </w:tc>
        <w:tc>
          <w:tcPr>
            <w:tcW w:w="1843" w:type="dxa"/>
            <w:vAlign w:val="center"/>
          </w:tcPr>
          <w:p>
            <w:pPr>
              <w:spacing w:line="240" w:lineRule="exact"/>
              <w:rPr>
                <w:rFonts w:ascii="Arial" w:hAnsi="Arial" w:cs="Arial"/>
                <w:color w:val="auto"/>
                <w:szCs w:val="21"/>
                <w:highlight w:val="none"/>
              </w:rPr>
            </w:pPr>
            <w:r>
              <w:rPr>
                <w:rFonts w:ascii="Arial" w:hAnsi="Arial" w:cs="Arial"/>
                <w:color w:val="auto"/>
                <w:szCs w:val="21"/>
                <w:highlight w:val="none"/>
                <w:lang w:val="zh-CN"/>
              </w:rPr>
              <w:t>（2）</w:t>
            </w:r>
            <w:r>
              <w:rPr>
                <w:rFonts w:ascii="Arial" w:hAnsi="Arial" w:cs="Arial"/>
                <w:color w:val="auto"/>
                <w:szCs w:val="21"/>
                <w:highlight w:val="none"/>
              </w:rPr>
              <w:t>具有良好的商业信誉和健全的财务会计制度</w:t>
            </w:r>
          </w:p>
        </w:tc>
        <w:tc>
          <w:tcPr>
            <w:tcW w:w="6237" w:type="dxa"/>
          </w:tcPr>
          <w:p>
            <w:pPr>
              <w:spacing w:line="240" w:lineRule="exact"/>
              <w:jc w:val="left"/>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审查商业信誉声明。须提供，格式见第六章响应文件格式“响应声明书”。</w:t>
            </w:r>
          </w:p>
          <w:p>
            <w:pPr>
              <w:spacing w:line="240" w:lineRule="exact"/>
              <w:jc w:val="left"/>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审查</w:t>
            </w:r>
            <w:r>
              <w:rPr>
                <w:rFonts w:hint="eastAsia"/>
                <w:color w:val="auto"/>
                <w:szCs w:val="21"/>
                <w:highlight w:val="none"/>
              </w:rPr>
              <w:t>2023年年度</w:t>
            </w:r>
            <w:r>
              <w:rPr>
                <w:rFonts w:ascii="Arial" w:hAnsi="Arial" w:cs="Arial"/>
                <w:color w:val="auto"/>
                <w:szCs w:val="21"/>
                <w:highlight w:val="none"/>
              </w:rPr>
              <w:t>财务状况报告（表）复印件或银行出具的资信证明复印件，</w:t>
            </w:r>
            <w:r>
              <w:rPr>
                <w:rFonts w:ascii="Arial" w:hAnsi="Arial" w:cs="Arial"/>
                <w:color w:val="auto"/>
                <w:highlight w:val="none"/>
              </w:rPr>
              <w:t>对于从取得营业执照时间起到</w:t>
            </w:r>
            <w:r>
              <w:rPr>
                <w:rFonts w:ascii="Arial" w:hAnsi="Arial" w:cs="Arial"/>
                <w:color w:val="auto"/>
                <w:szCs w:val="21"/>
                <w:highlight w:val="none"/>
              </w:rPr>
              <w:t>响应</w:t>
            </w:r>
            <w:r>
              <w:rPr>
                <w:rFonts w:ascii="Arial" w:hAnsi="Arial" w:cs="Arial"/>
                <w:color w:val="auto"/>
                <w:highlight w:val="none"/>
              </w:rPr>
              <w:t>文件递交截止时间为止不足1年的供应商，只需提交</w:t>
            </w:r>
            <w:r>
              <w:rPr>
                <w:rFonts w:ascii="Arial" w:hAnsi="Arial" w:cs="Arial"/>
                <w:color w:val="auto"/>
                <w:szCs w:val="21"/>
                <w:highlight w:val="none"/>
              </w:rPr>
              <w:t>响应文件递交截止时间前一个月的财务状况报告（表）复印件。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lang w:val="zh-CN"/>
              </w:rPr>
            </w:pPr>
          </w:p>
        </w:tc>
        <w:tc>
          <w:tcPr>
            <w:tcW w:w="1843" w:type="dxa"/>
            <w:vAlign w:val="center"/>
          </w:tcPr>
          <w:p>
            <w:pPr>
              <w:spacing w:line="240" w:lineRule="exact"/>
              <w:rPr>
                <w:rFonts w:ascii="Arial" w:hAnsi="Arial" w:cs="Arial"/>
                <w:color w:val="auto"/>
                <w:szCs w:val="21"/>
                <w:highlight w:val="none"/>
                <w:lang w:val="zh-CN"/>
              </w:rPr>
            </w:pPr>
            <w:r>
              <w:rPr>
                <w:rFonts w:ascii="Arial" w:hAnsi="Arial" w:cs="Arial"/>
                <w:color w:val="auto"/>
                <w:szCs w:val="21"/>
                <w:highlight w:val="none"/>
                <w:lang w:val="zh-CN"/>
              </w:rPr>
              <w:t>（3）具有履行合同所必需的设备和专业技术能力</w:t>
            </w:r>
          </w:p>
        </w:tc>
        <w:tc>
          <w:tcPr>
            <w:tcW w:w="6237" w:type="dxa"/>
          </w:tcPr>
          <w:p>
            <w:pPr>
              <w:spacing w:line="240" w:lineRule="exact"/>
              <w:jc w:val="left"/>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 xml:space="preserve">审查供应商营业执照，须有效； </w:t>
            </w:r>
          </w:p>
          <w:p>
            <w:pPr>
              <w:spacing w:line="240" w:lineRule="exact"/>
              <w:jc w:val="left"/>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审查书面声明。须提供，格式见第六章响应文件格式“响应</w:t>
            </w:r>
            <w:r>
              <w:rPr>
                <w:rFonts w:ascii="Arial" w:hAnsi="Arial" w:cs="Arial"/>
                <w:color w:val="auto"/>
                <w:highlight w:val="none"/>
              </w:rPr>
              <w:t>声明书</w:t>
            </w:r>
            <w:r>
              <w:rPr>
                <w:rFonts w:ascii="Arial" w:hAnsi="Arial" w:cs="Arial"/>
                <w:color w:val="auto"/>
                <w:szCs w:val="21"/>
                <w:highlight w:val="none"/>
              </w:rPr>
              <w:t>”。</w:t>
            </w:r>
          </w:p>
          <w:p>
            <w:pPr>
              <w:spacing w:line="240" w:lineRule="exact"/>
              <w:jc w:val="left"/>
              <w:rPr>
                <w:rFonts w:ascii="Arial" w:hAnsi="Arial" w:cs="Arial"/>
                <w:color w:val="auto"/>
                <w:szCs w:val="21"/>
                <w:highlight w:val="none"/>
              </w:rPr>
            </w:pPr>
            <w:r>
              <w:rPr>
                <w:rFonts w:ascii="Arial" w:hAnsi="Arial" w:cs="Arial"/>
                <w:color w:val="auto"/>
                <w:szCs w:val="21"/>
                <w:highlight w:val="none"/>
              </w:rPr>
              <w:t>审查</w:t>
            </w:r>
            <w:r>
              <w:rPr>
                <w:rFonts w:hint="eastAsia" w:ascii="宋体" w:hAnsi="宋体" w:cs="宋体"/>
                <w:color w:val="auto"/>
                <w:szCs w:val="21"/>
                <w:highlight w:val="none"/>
              </w:rPr>
              <w:t>①</w:t>
            </w:r>
            <w:r>
              <w:rPr>
                <w:rFonts w:ascii="Arial" w:hAnsi="Arial" w:cs="Arial"/>
                <w:color w:val="auto"/>
                <w:szCs w:val="21"/>
                <w:highlight w:val="none"/>
              </w:rPr>
              <w:t>或</w:t>
            </w:r>
            <w:r>
              <w:rPr>
                <w:rFonts w:hint="eastAsia" w:ascii="宋体" w:hAnsi="宋体" w:cs="宋体"/>
                <w:color w:val="auto"/>
                <w:szCs w:val="21"/>
                <w:highlight w:val="none"/>
              </w:rPr>
              <w:t>②</w:t>
            </w:r>
            <w:r>
              <w:rPr>
                <w:rFonts w:ascii="Arial" w:hAnsi="Arial" w:cs="Arial"/>
                <w:color w:val="auto"/>
                <w:szCs w:val="21"/>
                <w:highlight w:val="none"/>
              </w:rPr>
              <w:t>，满足其一，即为符合要求。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lang w:val="zh-CN"/>
              </w:rPr>
            </w:pPr>
          </w:p>
        </w:tc>
        <w:tc>
          <w:tcPr>
            <w:tcW w:w="1843" w:type="dxa"/>
            <w:vAlign w:val="center"/>
          </w:tcPr>
          <w:p>
            <w:pPr>
              <w:spacing w:line="240" w:lineRule="exact"/>
              <w:rPr>
                <w:color w:val="auto"/>
                <w:szCs w:val="21"/>
                <w:highlight w:val="none"/>
                <w:lang w:val="zh-CN"/>
              </w:rPr>
            </w:pPr>
            <w:r>
              <w:rPr>
                <w:color w:val="auto"/>
                <w:szCs w:val="21"/>
                <w:highlight w:val="none"/>
                <w:lang w:val="zh-CN"/>
              </w:rPr>
              <w:t>（4）有依法缴纳税收和社会保障金的良好记录</w:t>
            </w:r>
          </w:p>
        </w:tc>
        <w:tc>
          <w:tcPr>
            <w:tcW w:w="6237" w:type="dxa"/>
          </w:tcPr>
          <w:p>
            <w:pPr>
              <w:spacing w:line="240" w:lineRule="exact"/>
              <w:jc w:val="left"/>
              <w:rPr>
                <w:color w:val="auto"/>
                <w:szCs w:val="21"/>
                <w:highlight w:val="none"/>
              </w:rPr>
            </w:pPr>
            <w:r>
              <w:rPr>
                <w:rFonts w:hint="eastAsia" w:ascii="宋体" w:hAnsi="宋体" w:cs="宋体"/>
                <w:color w:val="auto"/>
                <w:szCs w:val="21"/>
                <w:highlight w:val="none"/>
              </w:rPr>
              <w:t>①</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依法缴纳税费证明复印件加盖供应商公章。</w:t>
            </w:r>
          </w:p>
          <w:p>
            <w:pPr>
              <w:spacing w:line="240" w:lineRule="exact"/>
              <w:jc w:val="left"/>
              <w:rPr>
                <w:color w:val="auto"/>
                <w:szCs w:val="21"/>
                <w:highlight w:val="none"/>
                <w:lang w:val="zh-CN"/>
              </w:rPr>
            </w:pPr>
            <w:r>
              <w:rPr>
                <w:rFonts w:hint="eastAsia" w:ascii="宋体" w:hAnsi="宋体" w:cs="宋体"/>
                <w:color w:val="auto"/>
                <w:szCs w:val="21"/>
                <w:highlight w:val="none"/>
              </w:rPr>
              <w:t>②</w:t>
            </w:r>
            <w:r>
              <w:rPr>
                <w:color w:val="auto"/>
                <w:szCs w:val="21"/>
                <w:highlight w:val="none"/>
              </w:rPr>
              <w:t>审查</w:t>
            </w:r>
            <w:r>
              <w:rPr>
                <w:rFonts w:hint="eastAsia"/>
                <w:color w:val="auto"/>
                <w:szCs w:val="21"/>
                <w:highlight w:val="none"/>
              </w:rPr>
              <w:t>响应</w:t>
            </w:r>
            <w:r>
              <w:rPr>
                <w:color w:val="auto"/>
                <w:szCs w:val="21"/>
                <w:highlight w:val="none"/>
              </w:rPr>
              <w:t>截止时间前6个月内，</w:t>
            </w:r>
            <w:r>
              <w:rPr>
                <w:rFonts w:hint="eastAsia"/>
                <w:color w:val="auto"/>
                <w:highlight w:val="none"/>
              </w:rPr>
              <w:t>供应商</w:t>
            </w:r>
            <w:r>
              <w:rPr>
                <w:color w:val="auto"/>
                <w:highlight w:val="none"/>
              </w:rPr>
              <w:t>任意</w:t>
            </w:r>
            <w:r>
              <w:rPr>
                <w:rFonts w:hint="eastAsia"/>
                <w:color w:val="auto"/>
                <w:highlight w:val="none"/>
              </w:rPr>
              <w:t>1个月</w:t>
            </w:r>
            <w:r>
              <w:rPr>
                <w:color w:val="auto"/>
                <w:szCs w:val="21"/>
                <w:highlight w:val="none"/>
              </w:rPr>
              <w:t>的社保缴费证明记录复印件加盖供应商公章。</w:t>
            </w:r>
          </w:p>
          <w:p>
            <w:pPr>
              <w:spacing w:line="240" w:lineRule="exact"/>
              <w:jc w:val="left"/>
              <w:rPr>
                <w:color w:val="auto"/>
                <w:szCs w:val="21"/>
                <w:highlight w:val="none"/>
              </w:rPr>
            </w:pPr>
            <w:r>
              <w:rPr>
                <w:color w:val="auto"/>
                <w:szCs w:val="21"/>
                <w:highlight w:val="none"/>
              </w:rPr>
              <w:t>供应商成立不足</w:t>
            </w:r>
            <w:r>
              <w:rPr>
                <w:rFonts w:hint="eastAsia"/>
                <w:color w:val="auto"/>
                <w:szCs w:val="21"/>
                <w:highlight w:val="none"/>
              </w:rPr>
              <w:t>1个月的，无须提供</w:t>
            </w:r>
            <w:r>
              <w:rPr>
                <w:color w:val="auto"/>
                <w:szCs w:val="21"/>
                <w:highlight w:val="none"/>
              </w:rPr>
              <w:t>缴纳税费证明及社保缴费证明加盖供应商公章</w:t>
            </w:r>
            <w:r>
              <w:rPr>
                <w:rFonts w:hint="eastAsia"/>
                <w:color w:val="auto"/>
                <w:szCs w:val="21"/>
                <w:highlight w:val="none"/>
              </w:rPr>
              <w:t>。</w:t>
            </w:r>
          </w:p>
          <w:p>
            <w:pPr>
              <w:spacing w:line="240" w:lineRule="exact"/>
              <w:jc w:val="left"/>
              <w:rPr>
                <w:color w:val="auto"/>
                <w:szCs w:val="21"/>
                <w:highlight w:val="none"/>
              </w:rPr>
            </w:pPr>
            <w:r>
              <w:rPr>
                <w:color w:val="auto"/>
                <w:szCs w:val="21"/>
                <w:highlight w:val="none"/>
              </w:rPr>
              <w:t>依法免税或不需要缴纳社会保障资金的供应商，须提供相应文件证明其依法免税或不需要缴纳社会保障资金。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6"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lang w:val="zh-CN"/>
              </w:rPr>
            </w:pPr>
          </w:p>
        </w:tc>
        <w:tc>
          <w:tcPr>
            <w:tcW w:w="1843" w:type="dxa"/>
            <w:vAlign w:val="center"/>
          </w:tcPr>
          <w:p>
            <w:pPr>
              <w:spacing w:line="240" w:lineRule="exact"/>
              <w:rPr>
                <w:rFonts w:ascii="Arial" w:hAnsi="Arial" w:cs="Arial"/>
                <w:color w:val="auto"/>
                <w:szCs w:val="21"/>
                <w:highlight w:val="none"/>
                <w:lang w:val="zh-CN"/>
              </w:rPr>
            </w:pPr>
            <w:r>
              <w:rPr>
                <w:rFonts w:ascii="Arial" w:hAnsi="Arial" w:cs="Arial"/>
                <w:color w:val="auto"/>
                <w:szCs w:val="21"/>
                <w:highlight w:val="none"/>
              </w:rPr>
              <w:t>（5）参加采购活动前三年内，在经</w:t>
            </w:r>
            <w:r>
              <w:rPr>
                <w:rFonts w:hint="eastAsia" w:ascii="Arial" w:hAnsi="Arial" w:cs="Arial"/>
                <w:color w:val="auto"/>
                <w:szCs w:val="21"/>
                <w:highlight w:val="none"/>
              </w:rPr>
              <w:t>营活动中没有重大违法记录及不良信用记录</w:t>
            </w:r>
          </w:p>
        </w:tc>
        <w:tc>
          <w:tcPr>
            <w:tcW w:w="6237"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 xml:space="preserve">审查无重大违法记录声明。须提供，格式见第六章响应文件格式“响应声明书”。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lang w:val="zh-CN"/>
              </w:rPr>
            </w:pPr>
          </w:p>
        </w:tc>
        <w:tc>
          <w:tcPr>
            <w:tcW w:w="1843"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（6）诚信要求</w:t>
            </w:r>
          </w:p>
        </w:tc>
        <w:tc>
          <w:tcPr>
            <w:tcW w:w="6237" w:type="dxa"/>
          </w:tcPr>
          <w:p>
            <w:pPr>
              <w:spacing w:line="240" w:lineRule="exact"/>
              <w:jc w:val="left"/>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审核标准：供应商如被列入失信被执行人、重大税收违法失信主体，则资格审查不予通过，按无效响应处理。</w:t>
            </w:r>
          </w:p>
          <w:p>
            <w:pPr>
              <w:spacing w:line="240" w:lineRule="exact"/>
              <w:jc w:val="left"/>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信用信息查询渠道：信用中国网：“失信被执行人”、“</w:t>
            </w:r>
            <w:r>
              <w:rPr>
                <w:rFonts w:ascii="Arial" w:hAnsi="Arial" w:cs="Arial"/>
                <w:color w:val="auto"/>
                <w:kern w:val="0"/>
                <w:szCs w:val="21"/>
                <w:highlight w:val="none"/>
              </w:rPr>
              <w:t>重大税收违法失信主体</w:t>
            </w:r>
            <w:r>
              <w:rPr>
                <w:rFonts w:ascii="Arial" w:hAnsi="Arial" w:cs="Arial"/>
                <w:color w:val="auto"/>
                <w:szCs w:val="21"/>
                <w:highlight w:val="none"/>
              </w:rPr>
              <w:t xml:space="preserve">” </w:t>
            </w:r>
          </w:p>
          <w:p>
            <w:pPr>
              <w:spacing w:line="240" w:lineRule="exact"/>
              <w:jc w:val="left"/>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查询方式：资格审查时，采购人或采购代理机构通过上述渠道查询供应商的信用记录供评委审核。</w:t>
            </w:r>
          </w:p>
          <w:p>
            <w:pPr>
              <w:spacing w:line="240" w:lineRule="exact"/>
              <w:jc w:val="left"/>
              <w:rPr>
                <w:rFonts w:ascii="Arial" w:hAnsi="Arial" w:cs="Arial"/>
                <w:color w:val="auto"/>
                <w:szCs w:val="21"/>
                <w:highlight w:val="none"/>
              </w:rPr>
            </w:pPr>
            <w:r>
              <w:rPr>
                <w:rFonts w:hint="eastAsia" w:ascii="宋体" w:hAnsi="宋体" w:cs="宋体"/>
                <w:color w:val="auto"/>
                <w:szCs w:val="21"/>
                <w:highlight w:val="none"/>
                <w:lang w:eastAsia="ja-JP"/>
              </w:rPr>
              <w:t>④</w:t>
            </w:r>
            <w:r>
              <w:rPr>
                <w:rFonts w:ascii="Arial" w:hAnsi="Arial" w:cs="Arial"/>
                <w:color w:val="auto"/>
                <w:szCs w:val="21"/>
                <w:highlight w:val="none"/>
              </w:rPr>
              <w:t>信用信息查询记录和证据留存的具体方式：通过上述查询渠道查询的供应商信用记录查询结果，将作为采购活动档案留存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lang w:val="zh-CN"/>
              </w:rPr>
            </w:pPr>
          </w:p>
        </w:tc>
        <w:tc>
          <w:tcPr>
            <w:tcW w:w="1843"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（7）具备法律、行政法规规定的其他要求</w:t>
            </w:r>
          </w:p>
        </w:tc>
        <w:tc>
          <w:tcPr>
            <w:tcW w:w="6237" w:type="dxa"/>
            <w:vAlign w:val="center"/>
          </w:tcPr>
          <w:p>
            <w:pPr>
              <w:spacing w:line="240" w:lineRule="exact"/>
              <w:rPr>
                <w:rFonts w:ascii="Arial" w:hAnsi="Arial" w:cs="Arial"/>
                <w:color w:val="auto"/>
                <w:szCs w:val="21"/>
                <w:highlight w:val="none"/>
              </w:rPr>
            </w:pPr>
            <w:r>
              <w:rPr>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restart"/>
            <w:vAlign w:val="center"/>
          </w:tcPr>
          <w:p>
            <w:pPr>
              <w:spacing w:line="240" w:lineRule="exact"/>
              <w:jc w:val="center"/>
              <w:rPr>
                <w:rFonts w:ascii="Arial" w:hAnsi="Arial" w:cs="Arial"/>
                <w:color w:val="auto"/>
                <w:szCs w:val="21"/>
                <w:highlight w:val="none"/>
              </w:rPr>
            </w:pPr>
            <w:r>
              <w:rPr>
                <w:rFonts w:ascii="Arial" w:hAnsi="Arial" w:cs="Arial"/>
                <w:color w:val="auto"/>
                <w:szCs w:val="21"/>
                <w:highlight w:val="none"/>
              </w:rPr>
              <w:t>2</w:t>
            </w:r>
          </w:p>
        </w:tc>
        <w:tc>
          <w:tcPr>
            <w:tcW w:w="851" w:type="dxa"/>
            <w:vMerge w:val="restart"/>
            <w:vAlign w:val="center"/>
          </w:tcPr>
          <w:p>
            <w:pPr>
              <w:spacing w:line="240" w:lineRule="exact"/>
              <w:rPr>
                <w:rFonts w:ascii="Arial" w:hAnsi="Arial" w:cs="Arial"/>
                <w:color w:val="auto"/>
                <w:szCs w:val="21"/>
                <w:highlight w:val="none"/>
              </w:rPr>
            </w:pPr>
            <w:r>
              <w:rPr>
                <w:rFonts w:ascii="Arial" w:hAnsi="Arial" w:cs="Arial"/>
                <w:color w:val="auto"/>
                <w:szCs w:val="21"/>
                <w:highlight w:val="none"/>
                <w:lang w:val="zh-CN"/>
              </w:rPr>
              <w:t>供应商应符合的</w:t>
            </w:r>
            <w:r>
              <w:rPr>
                <w:rFonts w:ascii="Arial" w:hAnsi="Arial" w:cs="Arial"/>
                <w:color w:val="auto"/>
                <w:szCs w:val="21"/>
                <w:highlight w:val="none"/>
              </w:rPr>
              <w:t>特定资格条件</w:t>
            </w:r>
          </w:p>
        </w:tc>
        <w:tc>
          <w:tcPr>
            <w:tcW w:w="1843"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（1）资质条件</w:t>
            </w:r>
          </w:p>
        </w:tc>
        <w:tc>
          <w:tcPr>
            <w:tcW w:w="6237"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须符合“</w:t>
            </w:r>
            <w:r>
              <w:rPr>
                <w:rFonts w:ascii="Arial" w:hAnsi="Arial" w:cs="Arial"/>
                <w:color w:val="auto"/>
                <w:highlight w:val="none"/>
              </w:rPr>
              <w:t>谈判</w:t>
            </w:r>
            <w:r>
              <w:rPr>
                <w:rFonts w:ascii="Arial" w:hAnsi="Arial" w:cs="Arial"/>
                <w:color w:val="auto"/>
                <w:szCs w:val="21"/>
                <w:highlight w:val="none"/>
              </w:rPr>
              <w:t>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rPr>
            </w:pPr>
          </w:p>
        </w:tc>
        <w:tc>
          <w:tcPr>
            <w:tcW w:w="1843"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（2）业绩要求</w:t>
            </w:r>
          </w:p>
        </w:tc>
        <w:tc>
          <w:tcPr>
            <w:tcW w:w="6237"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须符合“</w:t>
            </w:r>
            <w:r>
              <w:rPr>
                <w:rFonts w:ascii="Arial" w:hAnsi="Arial" w:cs="Arial"/>
                <w:color w:val="auto"/>
                <w:highlight w:val="none"/>
              </w:rPr>
              <w:t>谈判</w:t>
            </w:r>
            <w:r>
              <w:rPr>
                <w:rFonts w:ascii="Arial" w:hAnsi="Arial" w:cs="Arial"/>
                <w:color w:val="auto"/>
                <w:szCs w:val="21"/>
                <w:highlight w:val="none"/>
              </w:rPr>
              <w:t>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75" w:type="dxa"/>
            <w:vMerge w:val="continue"/>
            <w:vAlign w:val="center"/>
          </w:tcPr>
          <w:p>
            <w:pPr>
              <w:spacing w:line="240" w:lineRule="exact"/>
              <w:jc w:val="center"/>
              <w:rPr>
                <w:rFonts w:ascii="Arial" w:hAnsi="Arial" w:cs="Arial"/>
                <w:color w:val="auto"/>
                <w:szCs w:val="21"/>
                <w:highlight w:val="none"/>
              </w:rPr>
            </w:pPr>
          </w:p>
        </w:tc>
        <w:tc>
          <w:tcPr>
            <w:tcW w:w="851" w:type="dxa"/>
            <w:vMerge w:val="continue"/>
            <w:vAlign w:val="center"/>
          </w:tcPr>
          <w:p>
            <w:pPr>
              <w:spacing w:line="240" w:lineRule="exact"/>
              <w:rPr>
                <w:rFonts w:ascii="Arial" w:hAnsi="Arial" w:cs="Arial"/>
                <w:color w:val="auto"/>
                <w:szCs w:val="21"/>
                <w:highlight w:val="none"/>
              </w:rPr>
            </w:pPr>
          </w:p>
        </w:tc>
        <w:tc>
          <w:tcPr>
            <w:tcW w:w="1843"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（3）其他要求</w:t>
            </w:r>
          </w:p>
        </w:tc>
        <w:tc>
          <w:tcPr>
            <w:tcW w:w="6237" w:type="dxa"/>
            <w:vAlign w:val="center"/>
          </w:tcPr>
          <w:p>
            <w:pPr>
              <w:spacing w:line="240" w:lineRule="exact"/>
              <w:jc w:val="left"/>
              <w:rPr>
                <w:rFonts w:ascii="Arial" w:hAnsi="Arial" w:cs="Arial"/>
                <w:color w:val="auto"/>
                <w:szCs w:val="21"/>
                <w:highlight w:val="none"/>
              </w:rPr>
            </w:pPr>
            <w:r>
              <w:rPr>
                <w:rFonts w:ascii="Arial" w:hAnsi="Arial" w:cs="Arial"/>
                <w:color w:val="auto"/>
                <w:szCs w:val="21"/>
                <w:highlight w:val="none"/>
              </w:rPr>
              <w:t>须符合“</w:t>
            </w:r>
            <w:r>
              <w:rPr>
                <w:rFonts w:ascii="Arial" w:hAnsi="Arial" w:cs="Arial"/>
                <w:color w:val="auto"/>
                <w:highlight w:val="none"/>
              </w:rPr>
              <w:t>谈判</w:t>
            </w:r>
            <w:r>
              <w:rPr>
                <w:rFonts w:ascii="Arial" w:hAnsi="Arial" w:cs="Arial"/>
                <w:color w:val="auto"/>
                <w:szCs w:val="21"/>
                <w:highlight w:val="none"/>
              </w:rPr>
              <w:t>公告”的要求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75" w:type="dxa"/>
            <w:vAlign w:val="center"/>
          </w:tcPr>
          <w:p>
            <w:pPr>
              <w:spacing w:line="240" w:lineRule="exact"/>
              <w:jc w:val="center"/>
              <w:rPr>
                <w:rFonts w:ascii="Arial" w:hAnsi="Arial" w:cs="Arial"/>
                <w:color w:val="auto"/>
                <w:szCs w:val="21"/>
                <w:highlight w:val="none"/>
              </w:rPr>
            </w:pPr>
            <w:r>
              <w:rPr>
                <w:rFonts w:ascii="Arial" w:hAnsi="Arial" w:cs="Arial"/>
                <w:color w:val="auto"/>
                <w:kern w:val="0"/>
                <w:szCs w:val="21"/>
                <w:highlight w:val="none"/>
              </w:rPr>
              <w:t>3</w:t>
            </w:r>
          </w:p>
        </w:tc>
        <w:tc>
          <w:tcPr>
            <w:tcW w:w="2694" w:type="dxa"/>
            <w:gridSpan w:val="2"/>
            <w:vAlign w:val="center"/>
          </w:tcPr>
          <w:p>
            <w:pPr>
              <w:spacing w:line="240" w:lineRule="exact"/>
              <w:rPr>
                <w:rFonts w:ascii="Arial" w:hAnsi="Arial" w:cs="Arial"/>
                <w:color w:val="auto"/>
                <w:szCs w:val="21"/>
                <w:highlight w:val="none"/>
              </w:rPr>
            </w:pPr>
            <w:r>
              <w:rPr>
                <w:rFonts w:hint="eastAsia" w:ascii="Arial" w:hAnsi="Arial" w:cs="Arial"/>
                <w:color w:val="auto"/>
                <w:kern w:val="0"/>
                <w:szCs w:val="21"/>
                <w:highlight w:val="none"/>
              </w:rPr>
              <w:t>供应商不得参加资格审查的情形</w:t>
            </w:r>
          </w:p>
        </w:tc>
        <w:tc>
          <w:tcPr>
            <w:tcW w:w="6237" w:type="dxa"/>
            <w:vAlign w:val="center"/>
          </w:tcPr>
          <w:p>
            <w:pPr>
              <w:spacing w:line="240" w:lineRule="exact"/>
              <w:rPr>
                <w:rFonts w:ascii="Arial" w:hAnsi="Arial" w:cs="Arial"/>
                <w:color w:val="auto"/>
                <w:szCs w:val="21"/>
                <w:highlight w:val="none"/>
              </w:rPr>
            </w:pPr>
            <w:r>
              <w:rPr>
                <w:rFonts w:ascii="Arial" w:hAnsi="Arial" w:cs="Arial"/>
                <w:color w:val="auto"/>
                <w:szCs w:val="21"/>
                <w:highlight w:val="none"/>
              </w:rPr>
              <w:t>须符合“</w:t>
            </w:r>
            <w:r>
              <w:rPr>
                <w:rFonts w:ascii="Arial" w:hAnsi="Arial" w:cs="Arial"/>
                <w:color w:val="auto"/>
                <w:highlight w:val="none"/>
              </w:rPr>
              <w:t>谈判</w:t>
            </w:r>
            <w:r>
              <w:rPr>
                <w:rFonts w:ascii="Arial" w:hAnsi="Arial" w:cs="Arial"/>
                <w:color w:val="auto"/>
                <w:szCs w:val="21"/>
                <w:highlight w:val="none"/>
              </w:rPr>
              <w:t>公告”的要求</w:t>
            </w:r>
          </w:p>
        </w:tc>
      </w:tr>
    </w:tbl>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2、符合性检查</w:t>
      </w:r>
    </w:p>
    <w:p>
      <w:pPr>
        <w:spacing w:before="120" w:line="320" w:lineRule="atLeast"/>
        <w:ind w:firstLine="420" w:firstLineChars="200"/>
        <w:rPr>
          <w:rFonts w:ascii="Arial" w:hAnsi="Arial" w:cs="Arial"/>
          <w:color w:val="auto"/>
          <w:szCs w:val="21"/>
          <w:highlight w:val="none"/>
        </w:rPr>
      </w:pPr>
      <w:r>
        <w:rPr>
          <w:rFonts w:ascii="Arial" w:hAnsi="Arial" w:cs="Arial"/>
          <w:bCs/>
          <w:color w:val="auto"/>
          <w:kern w:val="1"/>
          <w:szCs w:val="21"/>
          <w:highlight w:val="none"/>
        </w:rPr>
        <w:t>资格审查结束后，由谈判小组对</w:t>
      </w:r>
      <w:r>
        <w:rPr>
          <w:rFonts w:ascii="Arial" w:hAnsi="Arial" w:cs="Arial"/>
          <w:color w:val="auto"/>
          <w:highlight w:val="none"/>
        </w:rPr>
        <w:t>通过资格审查的供应商的响应文件进行符合性审查，以确定其是否满足谈判文件的实质性要求。</w:t>
      </w:r>
      <w:r>
        <w:rPr>
          <w:rFonts w:ascii="Arial" w:hAnsi="Arial" w:cs="Arial"/>
          <w:color w:val="auto"/>
          <w:szCs w:val="21"/>
          <w:highlight w:val="none"/>
        </w:rPr>
        <w:t>符合性检查表如下，缺少任何一项或有任何一项不合格者，其符合性检查视为不合格。</w:t>
      </w:r>
    </w:p>
    <w:tbl>
      <w:tblPr>
        <w:tblStyle w:val="4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89"/>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46" w:type="dxa"/>
            <w:vAlign w:val="center"/>
          </w:tcPr>
          <w:p>
            <w:pPr>
              <w:spacing w:line="240" w:lineRule="exact"/>
              <w:jc w:val="center"/>
              <w:rPr>
                <w:rFonts w:ascii="Arial" w:hAnsi="Arial" w:cs="Arial"/>
                <w:b/>
                <w:color w:val="auto"/>
                <w:kern w:val="0"/>
                <w:szCs w:val="21"/>
                <w:highlight w:val="none"/>
              </w:rPr>
            </w:pPr>
            <w:r>
              <w:rPr>
                <w:rFonts w:ascii="Arial" w:hAnsi="Arial" w:cs="Arial"/>
                <w:b/>
                <w:color w:val="auto"/>
                <w:kern w:val="0"/>
                <w:szCs w:val="21"/>
                <w:highlight w:val="none"/>
              </w:rPr>
              <w:t>序号</w:t>
            </w:r>
          </w:p>
        </w:tc>
        <w:tc>
          <w:tcPr>
            <w:tcW w:w="3373" w:type="dxa"/>
            <w:gridSpan w:val="2"/>
            <w:vAlign w:val="center"/>
          </w:tcPr>
          <w:p>
            <w:pPr>
              <w:spacing w:line="240" w:lineRule="exact"/>
              <w:jc w:val="center"/>
              <w:rPr>
                <w:rFonts w:ascii="Arial" w:hAnsi="Arial" w:cs="Arial"/>
                <w:b/>
                <w:color w:val="auto"/>
                <w:kern w:val="0"/>
                <w:szCs w:val="21"/>
                <w:highlight w:val="none"/>
              </w:rPr>
            </w:pPr>
            <w:r>
              <w:rPr>
                <w:rFonts w:ascii="Arial" w:hAnsi="Arial" w:cs="Arial"/>
                <w:b/>
                <w:color w:val="auto"/>
                <w:kern w:val="0"/>
                <w:szCs w:val="21"/>
                <w:highlight w:val="none"/>
              </w:rPr>
              <w:t>评审因素</w:t>
            </w:r>
          </w:p>
        </w:tc>
        <w:tc>
          <w:tcPr>
            <w:tcW w:w="5409" w:type="dxa"/>
            <w:vAlign w:val="center"/>
          </w:tcPr>
          <w:p>
            <w:pPr>
              <w:spacing w:line="240" w:lineRule="exact"/>
              <w:jc w:val="center"/>
              <w:rPr>
                <w:rFonts w:ascii="Arial" w:hAnsi="Arial" w:cs="Arial"/>
                <w:b/>
                <w:color w:val="auto"/>
                <w:kern w:val="0"/>
                <w:szCs w:val="21"/>
                <w:highlight w:val="none"/>
              </w:rPr>
            </w:pPr>
            <w:r>
              <w:rPr>
                <w:rFonts w:ascii="Arial" w:hAnsi="Arial" w:cs="Arial"/>
                <w:b/>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vMerge w:val="restart"/>
            <w:vAlign w:val="center"/>
          </w:tcPr>
          <w:p>
            <w:pPr>
              <w:spacing w:line="240" w:lineRule="exact"/>
              <w:jc w:val="center"/>
              <w:rPr>
                <w:rFonts w:ascii="Arial" w:hAnsi="Arial" w:cs="Arial"/>
                <w:color w:val="auto"/>
                <w:szCs w:val="21"/>
                <w:highlight w:val="none"/>
              </w:rPr>
            </w:pPr>
            <w:r>
              <w:rPr>
                <w:rFonts w:ascii="Arial" w:hAnsi="Arial" w:cs="Arial"/>
                <w:color w:val="auto"/>
                <w:szCs w:val="21"/>
                <w:highlight w:val="none"/>
              </w:rPr>
              <w:t>（1）</w:t>
            </w:r>
          </w:p>
        </w:tc>
        <w:tc>
          <w:tcPr>
            <w:tcW w:w="1389" w:type="dxa"/>
            <w:vMerge w:val="restart"/>
            <w:vAlign w:val="center"/>
          </w:tcPr>
          <w:p>
            <w:pPr>
              <w:spacing w:line="240" w:lineRule="exact"/>
              <w:rPr>
                <w:rFonts w:ascii="Arial" w:hAnsi="Arial" w:cs="Arial"/>
                <w:color w:val="auto"/>
                <w:kern w:val="0"/>
                <w:szCs w:val="21"/>
                <w:highlight w:val="none"/>
              </w:rPr>
            </w:pPr>
            <w:r>
              <w:rPr>
                <w:rFonts w:ascii="Arial" w:hAnsi="Arial" w:cs="Arial"/>
                <w:color w:val="auto"/>
                <w:kern w:val="0"/>
                <w:szCs w:val="21"/>
                <w:highlight w:val="none"/>
              </w:rPr>
              <w:t>有效性审查</w:t>
            </w:r>
          </w:p>
        </w:tc>
        <w:tc>
          <w:tcPr>
            <w:tcW w:w="1984" w:type="dxa"/>
            <w:vAlign w:val="center"/>
          </w:tcPr>
          <w:p>
            <w:pPr>
              <w:spacing w:line="240" w:lineRule="exact"/>
              <w:rPr>
                <w:rFonts w:ascii="Arial" w:hAnsi="Arial" w:cs="Arial"/>
                <w:color w:val="auto"/>
                <w:kern w:val="0"/>
                <w:szCs w:val="21"/>
                <w:highlight w:val="none"/>
              </w:rPr>
            </w:pPr>
            <w:r>
              <w:rPr>
                <w:rFonts w:ascii="Arial" w:hAnsi="Arial" w:cs="Arial"/>
                <w:color w:val="auto"/>
                <w:szCs w:val="21"/>
                <w:highlight w:val="none"/>
              </w:rPr>
              <w:t>响应文件签署</w:t>
            </w:r>
          </w:p>
        </w:tc>
        <w:tc>
          <w:tcPr>
            <w:tcW w:w="5409" w:type="dxa"/>
            <w:vAlign w:val="center"/>
          </w:tcPr>
          <w:p>
            <w:pPr>
              <w:spacing w:line="240" w:lineRule="exact"/>
              <w:rPr>
                <w:rFonts w:ascii="Arial" w:hAnsi="Arial" w:cs="Arial"/>
                <w:color w:val="auto"/>
                <w:kern w:val="0"/>
                <w:szCs w:val="21"/>
                <w:highlight w:val="none"/>
              </w:rPr>
            </w:pPr>
            <w:r>
              <w:rPr>
                <w:rFonts w:ascii="Arial" w:hAnsi="Arial" w:cs="Arial"/>
                <w:color w:val="auto"/>
                <w:szCs w:val="21"/>
                <w:highlight w:val="none"/>
              </w:rPr>
              <w:t>响应文件上法定代表人或其授权代表人已按要求签字盖章。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Merge w:val="continue"/>
            <w:vAlign w:val="center"/>
          </w:tcPr>
          <w:p>
            <w:pPr>
              <w:spacing w:line="240" w:lineRule="exact"/>
              <w:jc w:val="center"/>
              <w:rPr>
                <w:rFonts w:ascii="Arial" w:hAnsi="Arial" w:cs="Arial"/>
                <w:color w:val="auto"/>
                <w:szCs w:val="21"/>
                <w:highlight w:val="none"/>
              </w:rPr>
            </w:pPr>
          </w:p>
        </w:tc>
        <w:tc>
          <w:tcPr>
            <w:tcW w:w="1389" w:type="dxa"/>
            <w:vMerge w:val="continue"/>
            <w:vAlign w:val="center"/>
          </w:tcPr>
          <w:p>
            <w:pPr>
              <w:spacing w:line="240" w:lineRule="exact"/>
              <w:rPr>
                <w:rFonts w:ascii="Arial" w:hAnsi="Arial" w:cs="Arial"/>
                <w:color w:val="auto"/>
                <w:kern w:val="0"/>
                <w:szCs w:val="21"/>
                <w:highlight w:val="none"/>
              </w:rPr>
            </w:pPr>
          </w:p>
        </w:tc>
        <w:tc>
          <w:tcPr>
            <w:tcW w:w="1984" w:type="dxa"/>
            <w:vAlign w:val="center"/>
          </w:tcPr>
          <w:p>
            <w:pPr>
              <w:spacing w:line="240" w:lineRule="exact"/>
              <w:rPr>
                <w:rFonts w:ascii="Arial" w:hAnsi="Arial" w:cs="Arial"/>
                <w:color w:val="auto"/>
                <w:szCs w:val="21"/>
                <w:highlight w:val="none"/>
              </w:rPr>
            </w:pPr>
            <w:r>
              <w:rPr>
                <w:rFonts w:ascii="Arial" w:hAnsi="Arial" w:cs="Arial"/>
                <w:color w:val="auto"/>
                <w:szCs w:val="21"/>
                <w:highlight w:val="none"/>
              </w:rPr>
              <w:t>法定代表人身份证明及授权委托书</w:t>
            </w:r>
          </w:p>
        </w:tc>
        <w:tc>
          <w:tcPr>
            <w:tcW w:w="5409" w:type="dxa"/>
            <w:vAlign w:val="center"/>
          </w:tcPr>
          <w:p>
            <w:pPr>
              <w:spacing w:line="240" w:lineRule="exact"/>
              <w:rPr>
                <w:rFonts w:ascii="Arial" w:hAnsi="Arial" w:cs="Arial"/>
                <w:color w:val="auto"/>
                <w:szCs w:val="21"/>
                <w:highlight w:val="none"/>
              </w:rPr>
            </w:pPr>
            <w:r>
              <w:rPr>
                <w:rFonts w:ascii="Arial" w:hAnsi="Arial" w:cs="Arial"/>
                <w:color w:val="auto"/>
                <w:szCs w:val="21"/>
                <w:highlight w:val="none"/>
              </w:rPr>
              <w:t>授权代表参加谈判时审查</w:t>
            </w:r>
            <w:r>
              <w:rPr>
                <w:rFonts w:ascii="Arial" w:hAnsi="Arial" w:cs="Arial"/>
                <w:color w:val="auto"/>
                <w:highlight w:val="none"/>
              </w:rPr>
              <w:t>：</w:t>
            </w:r>
            <w:r>
              <w:rPr>
                <w:rFonts w:ascii="Arial" w:hAnsi="Arial" w:cs="Arial"/>
                <w:color w:val="auto"/>
                <w:szCs w:val="21"/>
                <w:highlight w:val="none"/>
              </w:rPr>
              <w:t>法定代表人授权委托书及附件，格式及附件见第六章响应文件格式要求；</w:t>
            </w:r>
          </w:p>
          <w:p>
            <w:pPr>
              <w:spacing w:line="240" w:lineRule="exact"/>
              <w:rPr>
                <w:rFonts w:ascii="Arial" w:hAnsi="Arial" w:cs="Arial"/>
                <w:color w:val="auto"/>
                <w:szCs w:val="21"/>
                <w:highlight w:val="none"/>
              </w:rPr>
            </w:pPr>
            <w:r>
              <w:rPr>
                <w:rFonts w:ascii="Arial" w:hAnsi="Arial" w:cs="Arial"/>
                <w:color w:val="auto"/>
                <w:szCs w:val="21"/>
                <w:highlight w:val="none"/>
              </w:rPr>
              <w:t>法定代表人直接参加谈判时审查</w:t>
            </w:r>
            <w:r>
              <w:rPr>
                <w:rFonts w:ascii="Arial" w:hAnsi="Arial" w:cs="Arial"/>
                <w:color w:val="auto"/>
                <w:highlight w:val="none"/>
              </w:rPr>
              <w:t>：</w:t>
            </w:r>
            <w:r>
              <w:rPr>
                <w:rFonts w:ascii="Arial" w:hAnsi="Arial" w:cs="Arial"/>
                <w:color w:val="auto"/>
                <w:szCs w:val="21"/>
                <w:highlight w:val="none"/>
              </w:rPr>
              <w:t>法定代表人身份证明及附件，格式及附件见第六章响应文件格式要求。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46" w:type="dxa"/>
            <w:vMerge w:val="continue"/>
            <w:vAlign w:val="center"/>
          </w:tcPr>
          <w:p>
            <w:pPr>
              <w:spacing w:line="240" w:lineRule="exact"/>
              <w:jc w:val="center"/>
              <w:rPr>
                <w:rFonts w:ascii="Arial" w:hAnsi="Arial" w:cs="Arial"/>
                <w:color w:val="auto"/>
                <w:kern w:val="0"/>
                <w:szCs w:val="21"/>
                <w:highlight w:val="none"/>
              </w:rPr>
            </w:pPr>
          </w:p>
        </w:tc>
        <w:tc>
          <w:tcPr>
            <w:tcW w:w="1389" w:type="dxa"/>
            <w:vMerge w:val="continue"/>
            <w:vAlign w:val="center"/>
          </w:tcPr>
          <w:p>
            <w:pPr>
              <w:spacing w:line="240" w:lineRule="exact"/>
              <w:rPr>
                <w:rFonts w:ascii="Arial" w:hAnsi="Arial" w:cs="Arial"/>
                <w:color w:val="auto"/>
                <w:kern w:val="0"/>
                <w:szCs w:val="21"/>
                <w:highlight w:val="none"/>
              </w:rPr>
            </w:pPr>
          </w:p>
        </w:tc>
        <w:tc>
          <w:tcPr>
            <w:tcW w:w="1984" w:type="dxa"/>
            <w:vAlign w:val="center"/>
          </w:tcPr>
          <w:p>
            <w:pPr>
              <w:spacing w:line="240" w:lineRule="exact"/>
              <w:rPr>
                <w:rFonts w:ascii="Arial" w:hAnsi="Arial" w:cs="Arial"/>
                <w:color w:val="auto"/>
                <w:szCs w:val="21"/>
                <w:highlight w:val="none"/>
                <w:lang w:val="zh-CN"/>
              </w:rPr>
            </w:pPr>
            <w:r>
              <w:rPr>
                <w:rFonts w:ascii="Arial" w:hAnsi="Arial" w:cs="Arial"/>
                <w:color w:val="auto"/>
                <w:highlight w:val="none"/>
              </w:rPr>
              <w:t>最后响应文件或者最后响应报价唯一性</w:t>
            </w:r>
          </w:p>
        </w:tc>
        <w:tc>
          <w:tcPr>
            <w:tcW w:w="5409" w:type="dxa"/>
            <w:vAlign w:val="center"/>
          </w:tcPr>
          <w:p>
            <w:pPr>
              <w:spacing w:line="240" w:lineRule="exact"/>
              <w:rPr>
                <w:rFonts w:ascii="Arial" w:hAnsi="Arial" w:cs="Arial"/>
                <w:color w:val="auto"/>
                <w:kern w:val="0"/>
                <w:szCs w:val="21"/>
                <w:highlight w:val="none"/>
              </w:rPr>
            </w:pPr>
            <w:r>
              <w:rPr>
                <w:rFonts w:ascii="Arial" w:hAnsi="Arial" w:cs="Arial"/>
                <w:color w:val="auto"/>
                <w:highlight w:val="none"/>
              </w:rPr>
              <w:t>同</w:t>
            </w:r>
            <w:r>
              <w:rPr>
                <w:rFonts w:ascii="Arial" w:hAnsi="Arial" w:cs="Arial"/>
                <w:color w:val="auto"/>
                <w:szCs w:val="21"/>
                <w:highlight w:val="none"/>
              </w:rPr>
              <w:t>一供应商不得提交两个以上不同的</w:t>
            </w:r>
            <w:r>
              <w:rPr>
                <w:rFonts w:ascii="Arial" w:hAnsi="Arial" w:cs="Arial"/>
                <w:color w:val="auto"/>
                <w:highlight w:val="none"/>
              </w:rPr>
              <w:t>最后响应文件</w:t>
            </w:r>
            <w:r>
              <w:rPr>
                <w:rFonts w:ascii="Arial" w:hAnsi="Arial" w:cs="Arial"/>
                <w:color w:val="auto"/>
                <w:szCs w:val="21"/>
                <w:highlight w:val="none"/>
              </w:rPr>
              <w:t>或者</w:t>
            </w:r>
            <w:r>
              <w:rPr>
                <w:rFonts w:ascii="Arial" w:hAnsi="Arial" w:cs="Arial"/>
                <w:color w:val="auto"/>
                <w:highlight w:val="none"/>
              </w:rPr>
              <w:t>最后响应报价</w:t>
            </w:r>
            <w:r>
              <w:rPr>
                <w:rFonts w:ascii="Arial" w:hAnsi="Arial" w:cs="Arial"/>
                <w:color w:val="auto"/>
                <w:szCs w:val="21"/>
                <w:highlight w:val="none"/>
              </w:rPr>
              <w:t>，但谈判文件要求提交备选</w:t>
            </w:r>
            <w:r>
              <w:rPr>
                <w:rFonts w:ascii="Arial" w:hAnsi="Arial" w:cs="Arial"/>
                <w:color w:val="auto"/>
                <w:highlight w:val="none"/>
              </w:rPr>
              <w:t>响应</w:t>
            </w:r>
            <w:r>
              <w:rPr>
                <w:rFonts w:ascii="Arial" w:hAnsi="Arial" w:cs="Arial"/>
                <w:color w:val="auto"/>
                <w:szCs w:val="21"/>
                <w:highlight w:val="none"/>
              </w:rPr>
              <w:t xml:space="preserve">文件的除外。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vMerge w:val="continue"/>
            <w:vAlign w:val="center"/>
          </w:tcPr>
          <w:p>
            <w:pPr>
              <w:spacing w:line="240" w:lineRule="exact"/>
              <w:jc w:val="center"/>
              <w:rPr>
                <w:rFonts w:ascii="Arial" w:hAnsi="Arial" w:cs="Arial"/>
                <w:color w:val="auto"/>
                <w:kern w:val="0"/>
                <w:szCs w:val="21"/>
                <w:highlight w:val="none"/>
              </w:rPr>
            </w:pPr>
          </w:p>
        </w:tc>
        <w:tc>
          <w:tcPr>
            <w:tcW w:w="1389" w:type="dxa"/>
            <w:vMerge w:val="continue"/>
            <w:vAlign w:val="center"/>
          </w:tcPr>
          <w:p>
            <w:pPr>
              <w:spacing w:line="240" w:lineRule="exact"/>
              <w:rPr>
                <w:rFonts w:ascii="Arial" w:hAnsi="Arial" w:cs="Arial"/>
                <w:color w:val="auto"/>
                <w:kern w:val="0"/>
                <w:szCs w:val="21"/>
                <w:highlight w:val="none"/>
              </w:rPr>
            </w:pPr>
          </w:p>
        </w:tc>
        <w:tc>
          <w:tcPr>
            <w:tcW w:w="1984" w:type="dxa"/>
            <w:vAlign w:val="center"/>
          </w:tcPr>
          <w:p>
            <w:pPr>
              <w:rPr>
                <w:rFonts w:ascii="Arial" w:hAnsi="Arial" w:cs="Arial"/>
                <w:color w:val="auto"/>
                <w:highlight w:val="none"/>
              </w:rPr>
            </w:pPr>
            <w:r>
              <w:rPr>
                <w:rFonts w:ascii="Arial" w:hAnsi="Arial" w:cs="Arial"/>
                <w:color w:val="auto"/>
                <w:szCs w:val="21"/>
                <w:highlight w:val="none"/>
              </w:rPr>
              <w:t>谈判</w:t>
            </w:r>
            <w:r>
              <w:rPr>
                <w:rFonts w:ascii="Arial" w:hAnsi="Arial" w:cs="Arial"/>
                <w:color w:val="auto"/>
                <w:highlight w:val="none"/>
              </w:rPr>
              <w:t>报价</w:t>
            </w:r>
          </w:p>
        </w:tc>
        <w:tc>
          <w:tcPr>
            <w:tcW w:w="5409" w:type="dxa"/>
          </w:tcPr>
          <w:p>
            <w:pPr>
              <w:rPr>
                <w:rFonts w:ascii="Arial" w:hAnsi="Arial" w:cs="Arial"/>
                <w:color w:val="auto"/>
                <w:highlight w:val="none"/>
              </w:rPr>
            </w:pPr>
            <w:r>
              <w:rPr>
                <w:rFonts w:ascii="Arial" w:hAnsi="Arial" w:cs="Arial"/>
                <w:color w:val="auto"/>
                <w:szCs w:val="21"/>
                <w:highlight w:val="none"/>
              </w:rPr>
              <w:t>最后报价超出采购预算金额的，否决其响应</w:t>
            </w:r>
            <w:r>
              <w:rPr>
                <w:rFonts w:ascii="Arial" w:hAnsi="Arial" w:cs="Arial"/>
                <w:color w:val="auto"/>
                <w:highlight w:val="none"/>
              </w:rPr>
              <w:t>。</w:t>
            </w:r>
            <w:r>
              <w:rPr>
                <w:rFonts w:ascii="Arial" w:hAnsi="Arial" w:cs="Arial"/>
                <w:color w:val="auto"/>
                <w:szCs w:val="21"/>
                <w:highlight w:val="none"/>
              </w:rPr>
              <w:t>提交选择性报价的，否决其响应。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pPr>
              <w:spacing w:line="240" w:lineRule="exact"/>
              <w:jc w:val="center"/>
              <w:rPr>
                <w:rFonts w:ascii="Arial" w:hAnsi="Arial" w:cs="Arial"/>
                <w:color w:val="auto"/>
                <w:kern w:val="0"/>
                <w:szCs w:val="21"/>
                <w:highlight w:val="none"/>
              </w:rPr>
            </w:pPr>
          </w:p>
        </w:tc>
        <w:tc>
          <w:tcPr>
            <w:tcW w:w="1389" w:type="dxa"/>
            <w:vMerge w:val="continue"/>
            <w:vAlign w:val="center"/>
          </w:tcPr>
          <w:p>
            <w:pPr>
              <w:spacing w:line="240" w:lineRule="exact"/>
              <w:rPr>
                <w:rFonts w:ascii="Arial" w:hAnsi="Arial" w:cs="Arial"/>
                <w:color w:val="auto"/>
                <w:kern w:val="0"/>
                <w:szCs w:val="21"/>
                <w:highlight w:val="none"/>
              </w:rPr>
            </w:pPr>
          </w:p>
        </w:tc>
        <w:tc>
          <w:tcPr>
            <w:tcW w:w="1984" w:type="dxa"/>
            <w:vAlign w:val="center"/>
          </w:tcPr>
          <w:p>
            <w:pPr>
              <w:spacing w:line="240" w:lineRule="exact"/>
              <w:rPr>
                <w:rFonts w:ascii="Arial" w:hAnsi="Arial" w:cs="Arial"/>
                <w:color w:val="auto"/>
                <w:szCs w:val="21"/>
                <w:highlight w:val="none"/>
                <w:lang w:val="zh-CN"/>
              </w:rPr>
            </w:pPr>
            <w:r>
              <w:rPr>
                <w:rFonts w:ascii="Arial" w:hAnsi="Arial" w:cs="Arial"/>
                <w:color w:val="auto"/>
                <w:szCs w:val="21"/>
                <w:highlight w:val="none"/>
                <w:lang w:val="zh-CN"/>
              </w:rPr>
              <w:t>联合体供应商</w:t>
            </w:r>
          </w:p>
        </w:tc>
        <w:tc>
          <w:tcPr>
            <w:tcW w:w="5409" w:type="dxa"/>
            <w:vAlign w:val="center"/>
          </w:tcPr>
          <w:p>
            <w:pPr>
              <w:spacing w:line="240" w:lineRule="exact"/>
              <w:rPr>
                <w:rFonts w:ascii="Arial" w:hAnsi="Arial" w:cs="Arial"/>
                <w:color w:val="auto"/>
                <w:kern w:val="0"/>
                <w:szCs w:val="21"/>
                <w:highlight w:val="none"/>
              </w:rPr>
            </w:pPr>
            <w:r>
              <w:rPr>
                <w:rFonts w:ascii="Arial" w:hAnsi="Arial" w:cs="Arial"/>
                <w:color w:val="auto"/>
                <w:szCs w:val="21"/>
                <w:highlight w:val="none"/>
                <w:lang w:val="zh-CN"/>
              </w:rPr>
              <w:t>不接受联合体。联合体响应的，作无效响应处理。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Merge w:val="continue"/>
            <w:vAlign w:val="center"/>
          </w:tcPr>
          <w:p>
            <w:pPr>
              <w:spacing w:line="240" w:lineRule="exact"/>
              <w:jc w:val="center"/>
              <w:rPr>
                <w:rFonts w:ascii="Arial" w:hAnsi="Arial" w:cs="Arial"/>
                <w:color w:val="auto"/>
                <w:kern w:val="0"/>
                <w:szCs w:val="21"/>
                <w:highlight w:val="none"/>
              </w:rPr>
            </w:pPr>
          </w:p>
        </w:tc>
        <w:tc>
          <w:tcPr>
            <w:tcW w:w="1389" w:type="dxa"/>
            <w:vMerge w:val="continue"/>
            <w:vAlign w:val="center"/>
          </w:tcPr>
          <w:p>
            <w:pPr>
              <w:spacing w:line="240" w:lineRule="exact"/>
              <w:rPr>
                <w:rFonts w:ascii="Arial" w:hAnsi="Arial" w:cs="Arial"/>
                <w:color w:val="auto"/>
                <w:kern w:val="0"/>
                <w:szCs w:val="21"/>
                <w:highlight w:val="none"/>
              </w:rPr>
            </w:pPr>
          </w:p>
        </w:tc>
        <w:tc>
          <w:tcPr>
            <w:tcW w:w="1984" w:type="dxa"/>
            <w:vAlign w:val="center"/>
          </w:tcPr>
          <w:p>
            <w:pPr>
              <w:rPr>
                <w:rFonts w:ascii="Arial" w:hAnsi="Arial" w:cs="Arial"/>
                <w:color w:val="auto"/>
                <w:szCs w:val="21"/>
                <w:highlight w:val="none"/>
              </w:rPr>
            </w:pPr>
            <w:r>
              <w:rPr>
                <w:rFonts w:ascii="Arial" w:hAnsi="Arial" w:cs="Arial"/>
                <w:color w:val="auto"/>
                <w:szCs w:val="21"/>
                <w:highlight w:val="none"/>
              </w:rPr>
              <w:t>转包及分包</w:t>
            </w:r>
          </w:p>
        </w:tc>
        <w:tc>
          <w:tcPr>
            <w:tcW w:w="5409" w:type="dxa"/>
            <w:vAlign w:val="center"/>
          </w:tcPr>
          <w:p>
            <w:pPr>
              <w:rPr>
                <w:rFonts w:ascii="Arial" w:hAnsi="Arial" w:cs="Arial"/>
                <w:color w:val="auto"/>
                <w:szCs w:val="21"/>
                <w:highlight w:val="none"/>
              </w:rPr>
            </w:pPr>
            <w:r>
              <w:rPr>
                <w:rFonts w:ascii="Arial" w:hAnsi="Arial" w:cs="Arial"/>
                <w:color w:val="auto"/>
                <w:szCs w:val="21"/>
                <w:highlight w:val="none"/>
              </w:rPr>
              <w:t>满足谈判文件规定。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vMerge w:val="restart"/>
            <w:vAlign w:val="center"/>
          </w:tcPr>
          <w:p>
            <w:pPr>
              <w:spacing w:line="240" w:lineRule="exact"/>
              <w:jc w:val="center"/>
              <w:rPr>
                <w:rFonts w:ascii="Arial" w:hAnsi="Arial" w:cs="Arial"/>
                <w:color w:val="auto"/>
                <w:szCs w:val="21"/>
                <w:highlight w:val="none"/>
              </w:rPr>
            </w:pPr>
            <w:r>
              <w:rPr>
                <w:rFonts w:ascii="Arial" w:hAnsi="Arial" w:cs="Arial"/>
                <w:color w:val="auto"/>
                <w:szCs w:val="21"/>
                <w:highlight w:val="none"/>
              </w:rPr>
              <w:t>（2）</w:t>
            </w:r>
          </w:p>
        </w:tc>
        <w:tc>
          <w:tcPr>
            <w:tcW w:w="1389" w:type="dxa"/>
            <w:vMerge w:val="restart"/>
            <w:vAlign w:val="center"/>
          </w:tcPr>
          <w:p>
            <w:pPr>
              <w:spacing w:line="240" w:lineRule="exact"/>
              <w:rPr>
                <w:rFonts w:ascii="Arial" w:hAnsi="Arial" w:cs="Arial"/>
                <w:color w:val="auto"/>
                <w:szCs w:val="21"/>
                <w:highlight w:val="none"/>
                <w:lang w:val="zh-CN"/>
              </w:rPr>
            </w:pPr>
            <w:r>
              <w:rPr>
                <w:rFonts w:ascii="Arial" w:hAnsi="Arial" w:cs="Arial"/>
                <w:color w:val="auto"/>
                <w:kern w:val="0"/>
                <w:szCs w:val="21"/>
                <w:highlight w:val="none"/>
              </w:rPr>
              <w:t>对谈判文件的响应程度审查</w:t>
            </w:r>
          </w:p>
        </w:tc>
        <w:tc>
          <w:tcPr>
            <w:tcW w:w="1984" w:type="dxa"/>
            <w:vAlign w:val="center"/>
          </w:tcPr>
          <w:p>
            <w:pPr>
              <w:spacing w:line="240" w:lineRule="exact"/>
              <w:rPr>
                <w:rFonts w:ascii="Arial" w:hAnsi="Arial" w:cs="Arial"/>
                <w:color w:val="auto"/>
                <w:szCs w:val="21"/>
                <w:highlight w:val="none"/>
                <w:lang w:val="zh-CN"/>
              </w:rPr>
            </w:pPr>
            <w:r>
              <w:rPr>
                <w:rFonts w:ascii="Arial" w:hAnsi="Arial" w:cs="Arial"/>
                <w:color w:val="auto"/>
                <w:szCs w:val="21"/>
                <w:highlight w:val="none"/>
                <w:lang w:val="zh-CN"/>
              </w:rPr>
              <w:t>实质性条款响应</w:t>
            </w:r>
          </w:p>
        </w:tc>
        <w:tc>
          <w:tcPr>
            <w:tcW w:w="5409" w:type="dxa"/>
            <w:vAlign w:val="center"/>
          </w:tcPr>
          <w:p>
            <w:pPr>
              <w:spacing w:line="240" w:lineRule="exact"/>
              <w:rPr>
                <w:rFonts w:ascii="Arial" w:hAnsi="Arial" w:cs="Arial"/>
                <w:color w:val="auto"/>
                <w:szCs w:val="21"/>
                <w:highlight w:val="none"/>
                <w:lang w:val="zh-CN"/>
              </w:rPr>
            </w:pPr>
            <w:r>
              <w:rPr>
                <w:rFonts w:ascii="Arial" w:hAnsi="Arial" w:cs="Arial"/>
                <w:color w:val="auto"/>
                <w:szCs w:val="21"/>
                <w:highlight w:val="none"/>
                <w:lang w:val="zh-CN"/>
              </w:rPr>
              <w:t>对谈判文件中所有标注▲号的实质性条款要求响应均无负偏离。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46" w:type="dxa"/>
            <w:vMerge w:val="continue"/>
            <w:vAlign w:val="center"/>
          </w:tcPr>
          <w:p>
            <w:pPr>
              <w:spacing w:line="240" w:lineRule="exact"/>
              <w:jc w:val="center"/>
              <w:rPr>
                <w:rFonts w:ascii="Arial" w:hAnsi="Arial" w:cs="Arial"/>
                <w:color w:val="auto"/>
                <w:kern w:val="0"/>
                <w:szCs w:val="21"/>
                <w:highlight w:val="none"/>
              </w:rPr>
            </w:pPr>
          </w:p>
        </w:tc>
        <w:tc>
          <w:tcPr>
            <w:tcW w:w="1389" w:type="dxa"/>
            <w:vMerge w:val="continue"/>
            <w:vAlign w:val="center"/>
          </w:tcPr>
          <w:p>
            <w:pPr>
              <w:spacing w:line="240" w:lineRule="exact"/>
              <w:rPr>
                <w:rFonts w:ascii="Arial" w:hAnsi="Arial" w:cs="Arial"/>
                <w:color w:val="auto"/>
                <w:szCs w:val="21"/>
                <w:highlight w:val="none"/>
                <w:lang w:val="zh-CN"/>
              </w:rPr>
            </w:pPr>
          </w:p>
        </w:tc>
        <w:tc>
          <w:tcPr>
            <w:tcW w:w="1984" w:type="dxa"/>
            <w:vAlign w:val="center"/>
          </w:tcPr>
          <w:p>
            <w:pPr>
              <w:rPr>
                <w:rFonts w:ascii="Arial" w:hAnsi="Arial" w:cs="Arial"/>
                <w:color w:val="auto"/>
                <w:szCs w:val="21"/>
                <w:highlight w:val="none"/>
              </w:rPr>
            </w:pPr>
            <w:r>
              <w:rPr>
                <w:rFonts w:ascii="Arial" w:hAnsi="Arial" w:cs="Arial"/>
                <w:color w:val="auto"/>
                <w:szCs w:val="21"/>
                <w:highlight w:val="none"/>
              </w:rPr>
              <w:t>响应有效期</w:t>
            </w:r>
          </w:p>
        </w:tc>
        <w:tc>
          <w:tcPr>
            <w:tcW w:w="5409" w:type="dxa"/>
            <w:vAlign w:val="center"/>
          </w:tcPr>
          <w:p>
            <w:pPr>
              <w:rPr>
                <w:rFonts w:ascii="Arial" w:hAnsi="Arial" w:cs="Arial"/>
                <w:color w:val="auto"/>
                <w:szCs w:val="21"/>
                <w:highlight w:val="none"/>
              </w:rPr>
            </w:pPr>
            <w:r>
              <w:rPr>
                <w:rFonts w:ascii="Arial" w:hAnsi="Arial" w:cs="Arial"/>
                <w:color w:val="auto"/>
                <w:szCs w:val="21"/>
                <w:highlight w:val="none"/>
              </w:rPr>
              <w:t>满足谈判文件规定。</w:t>
            </w:r>
          </w:p>
        </w:tc>
      </w:tr>
    </w:tbl>
    <w:p>
      <w:pPr>
        <w:spacing w:before="120" w:line="320" w:lineRule="atLeast"/>
        <w:ind w:firstLine="413" w:firstLineChars="196"/>
        <w:outlineLvl w:val="1"/>
        <w:rPr>
          <w:b/>
          <w:bCs/>
          <w:color w:val="auto"/>
          <w:kern w:val="0"/>
          <w:szCs w:val="21"/>
          <w:highlight w:val="none"/>
        </w:rPr>
      </w:pPr>
      <w:bookmarkStart w:id="22" w:name="_Hlk89356659"/>
      <w:r>
        <w:rPr>
          <w:b/>
          <w:bCs/>
          <w:color w:val="auto"/>
          <w:kern w:val="0"/>
          <w:szCs w:val="21"/>
          <w:highlight w:val="none"/>
        </w:rPr>
        <w:t>2.1相同品牌响应有效性认定</w:t>
      </w:r>
    </w:p>
    <w:p>
      <w:pPr>
        <w:spacing w:before="120" w:line="320" w:lineRule="atLeast"/>
        <w:ind w:firstLine="422" w:firstLineChars="200"/>
        <w:rPr>
          <w:b/>
          <w:bCs/>
          <w:color w:val="auto"/>
          <w:highlight w:val="none"/>
        </w:rPr>
      </w:pPr>
      <w:bookmarkStart w:id="23" w:name="_Hlk89358958"/>
      <w:r>
        <w:rPr>
          <w:rFonts w:hint="eastAsia"/>
          <w:b/>
          <w:bCs/>
          <w:color w:val="auto"/>
          <w:highlight w:val="none"/>
        </w:rPr>
        <w:t>若本项目设置核心产品，则按以下内容进行评审：</w:t>
      </w:r>
    </w:p>
    <w:bookmarkEnd w:id="23"/>
    <w:p>
      <w:pPr>
        <w:spacing w:before="120" w:line="320" w:lineRule="atLeast"/>
        <w:ind w:firstLine="420" w:firstLineChars="200"/>
        <w:rPr>
          <w:color w:val="auto"/>
          <w:highlight w:val="none"/>
        </w:rPr>
      </w:pPr>
      <w:r>
        <w:rPr>
          <w:color w:val="auto"/>
          <w:highlight w:val="none"/>
        </w:rPr>
        <w:t>不同供应商提供的响应产品品牌相同时，</w:t>
      </w:r>
      <w:r>
        <w:rPr>
          <w:rFonts w:hint="eastAsia"/>
          <w:color w:val="auto"/>
          <w:highlight w:val="none"/>
        </w:rPr>
        <w:t>谈判</w:t>
      </w:r>
      <w:r>
        <w:rPr>
          <w:color w:val="auto"/>
          <w:highlight w:val="none"/>
        </w:rPr>
        <w:t>小组须根据</w:t>
      </w:r>
      <w:r>
        <w:rPr>
          <w:rFonts w:hint="eastAsia"/>
          <w:color w:val="auto"/>
          <w:highlight w:val="none"/>
        </w:rPr>
        <w:t>以下</w:t>
      </w:r>
      <w:r>
        <w:rPr>
          <w:color w:val="auto"/>
          <w:highlight w:val="none"/>
        </w:rPr>
        <w:t>规定评审</w:t>
      </w:r>
      <w:r>
        <w:rPr>
          <w:bCs/>
          <w:color w:val="auto"/>
          <w:kern w:val="0"/>
          <w:szCs w:val="21"/>
          <w:highlight w:val="none"/>
        </w:rPr>
        <w:t>相同品牌的响应有效性</w:t>
      </w:r>
      <w:r>
        <w:rPr>
          <w:color w:val="auto"/>
          <w:highlight w:val="none"/>
        </w:rPr>
        <w:t>。</w:t>
      </w:r>
    </w:p>
    <w:p>
      <w:pPr>
        <w:spacing w:before="120" w:line="320" w:lineRule="atLeast"/>
        <w:ind w:firstLine="420" w:firstLineChars="200"/>
        <w:rPr>
          <w:color w:val="auto"/>
          <w:szCs w:val="21"/>
          <w:highlight w:val="none"/>
        </w:rPr>
      </w:pPr>
      <w:r>
        <w:rPr>
          <w:rFonts w:hint="eastAsia"/>
          <w:color w:val="auto"/>
          <w:szCs w:val="21"/>
          <w:highlight w:val="none"/>
        </w:rPr>
        <w:t>（1）</w:t>
      </w:r>
      <w:r>
        <w:rPr>
          <w:color w:val="auto"/>
          <w:szCs w:val="21"/>
          <w:highlight w:val="none"/>
        </w:rPr>
        <w:t>如若提供相同品牌产品且通过资格审查、符合性审查的不同供应商参加同一合同项下</w:t>
      </w:r>
      <w:r>
        <w:rPr>
          <w:rFonts w:hint="eastAsia"/>
          <w:color w:val="auto"/>
          <w:highlight w:val="none"/>
        </w:rPr>
        <w:t>谈判</w:t>
      </w:r>
      <w:r>
        <w:rPr>
          <w:color w:val="auto"/>
          <w:szCs w:val="21"/>
          <w:highlight w:val="none"/>
        </w:rPr>
        <w:t>的，按一家供应商计算，评审后得分最高的同品牌供应商获得</w:t>
      </w:r>
      <w:r>
        <w:rPr>
          <w:rFonts w:hint="eastAsia"/>
          <w:color w:val="auto"/>
          <w:szCs w:val="21"/>
          <w:highlight w:val="none"/>
        </w:rPr>
        <w:t>成交供应商</w:t>
      </w:r>
      <w:r>
        <w:rPr>
          <w:color w:val="auto"/>
          <w:szCs w:val="21"/>
          <w:highlight w:val="none"/>
        </w:rPr>
        <w:t>推荐资格；评审得分相同的，</w:t>
      </w:r>
      <w:r>
        <w:rPr>
          <w:color w:val="auto"/>
          <w:highlight w:val="none"/>
        </w:rPr>
        <w:t>由（</w:t>
      </w:r>
      <w:r>
        <w:rPr>
          <w:color w:val="auto"/>
          <w:szCs w:val="21"/>
          <w:highlight w:val="none"/>
        </w:rPr>
        <w:sym w:font="Wingdings 2" w:char="F052"/>
      </w:r>
      <w:r>
        <w:rPr>
          <w:color w:val="auto"/>
          <w:highlight w:val="none"/>
        </w:rPr>
        <w:t>采购人</w:t>
      </w:r>
      <w:r>
        <w:rPr>
          <w:color w:val="auto"/>
          <w:szCs w:val="21"/>
          <w:highlight w:val="none"/>
        </w:rPr>
        <w:t>；</w:t>
      </w:r>
      <w:r>
        <w:rPr>
          <w:color w:val="auto"/>
          <w:szCs w:val="21"/>
          <w:highlight w:val="none"/>
        </w:rPr>
        <w:sym w:font="Wingdings 2" w:char="F0A3"/>
      </w:r>
      <w:r>
        <w:rPr>
          <w:color w:val="auto"/>
          <w:highlight w:val="none"/>
        </w:rPr>
        <w:t>采购人委托</w:t>
      </w:r>
      <w:r>
        <w:rPr>
          <w:rFonts w:hint="eastAsia"/>
          <w:color w:val="auto"/>
          <w:highlight w:val="none"/>
        </w:rPr>
        <w:t>谈判小组</w:t>
      </w:r>
      <w:r>
        <w:rPr>
          <w:color w:val="auto"/>
          <w:highlight w:val="none"/>
        </w:rPr>
        <w:t>）按照报价低者推荐</w:t>
      </w:r>
      <w:r>
        <w:rPr>
          <w:rFonts w:hint="eastAsia"/>
          <w:color w:val="auto"/>
          <w:szCs w:val="21"/>
          <w:highlight w:val="none"/>
        </w:rPr>
        <w:t>成交供应商</w:t>
      </w:r>
      <w:r>
        <w:rPr>
          <w:color w:val="auto"/>
          <w:szCs w:val="21"/>
          <w:highlight w:val="none"/>
        </w:rPr>
        <w:t>资格</w:t>
      </w:r>
      <w:r>
        <w:rPr>
          <w:color w:val="auto"/>
          <w:highlight w:val="none"/>
        </w:rPr>
        <w:t>，如报价仍相同，则按技术部分得分高者推荐</w:t>
      </w:r>
      <w:r>
        <w:rPr>
          <w:rFonts w:hint="eastAsia"/>
          <w:color w:val="auto"/>
          <w:szCs w:val="21"/>
          <w:highlight w:val="none"/>
        </w:rPr>
        <w:t>成交供应商</w:t>
      </w:r>
      <w:r>
        <w:rPr>
          <w:color w:val="auto"/>
          <w:szCs w:val="21"/>
          <w:highlight w:val="none"/>
        </w:rPr>
        <w:t>资格</w:t>
      </w:r>
      <w:r>
        <w:rPr>
          <w:color w:val="auto"/>
          <w:highlight w:val="none"/>
        </w:rPr>
        <w:t>，仍相同的，则按商务部分得分高者推荐</w:t>
      </w:r>
      <w:r>
        <w:rPr>
          <w:rFonts w:hint="eastAsia"/>
          <w:color w:val="auto"/>
          <w:szCs w:val="21"/>
          <w:highlight w:val="none"/>
        </w:rPr>
        <w:t>成交供应商</w:t>
      </w:r>
      <w:r>
        <w:rPr>
          <w:color w:val="auto"/>
          <w:szCs w:val="21"/>
          <w:highlight w:val="none"/>
        </w:rPr>
        <w:t>资格</w:t>
      </w:r>
      <w:r>
        <w:rPr>
          <w:color w:val="auto"/>
          <w:highlight w:val="none"/>
        </w:rPr>
        <w:t>，若仍相同，则按业绩得分高者推荐</w:t>
      </w:r>
      <w:r>
        <w:rPr>
          <w:rFonts w:hint="eastAsia"/>
          <w:color w:val="auto"/>
          <w:szCs w:val="21"/>
          <w:highlight w:val="none"/>
        </w:rPr>
        <w:t>成交供应商</w:t>
      </w:r>
      <w:r>
        <w:rPr>
          <w:color w:val="auto"/>
          <w:highlight w:val="none"/>
        </w:rPr>
        <w:t>资格，其他同品牌供应商不作为</w:t>
      </w:r>
      <w:r>
        <w:rPr>
          <w:rFonts w:hint="eastAsia"/>
          <w:color w:val="auto"/>
          <w:szCs w:val="21"/>
          <w:highlight w:val="none"/>
        </w:rPr>
        <w:t>成交候选人</w:t>
      </w:r>
      <w:r>
        <w:rPr>
          <w:color w:val="auto"/>
          <w:highlight w:val="none"/>
        </w:rPr>
        <w:t>。</w:t>
      </w:r>
    </w:p>
    <w:p>
      <w:pPr>
        <w:spacing w:before="120" w:line="320" w:lineRule="atLeast"/>
        <w:ind w:firstLine="420" w:firstLineChars="200"/>
        <w:rPr>
          <w:color w:val="auto"/>
          <w:szCs w:val="21"/>
          <w:highlight w:val="none"/>
        </w:rPr>
      </w:pPr>
      <w:r>
        <w:rPr>
          <w:rFonts w:hint="eastAsia"/>
          <w:color w:val="auto"/>
          <w:szCs w:val="21"/>
          <w:highlight w:val="none"/>
        </w:rPr>
        <w:t>（2）</w:t>
      </w:r>
      <w:r>
        <w:rPr>
          <w:color w:val="auto"/>
          <w:szCs w:val="21"/>
          <w:highlight w:val="none"/>
        </w:rPr>
        <w:t>非单一产品采购项目，采购人应当确定核心产品，并在</w:t>
      </w:r>
      <w:r>
        <w:rPr>
          <w:rFonts w:hint="eastAsia"/>
          <w:color w:val="auto"/>
          <w:szCs w:val="21"/>
          <w:highlight w:val="none"/>
        </w:rPr>
        <w:t>谈判文件</w:t>
      </w:r>
      <w:r>
        <w:rPr>
          <w:color w:val="auto"/>
          <w:szCs w:val="21"/>
          <w:highlight w:val="none"/>
        </w:rPr>
        <w:t>中载明。多家供应商提供的核心产品品牌相同的，按上述规定处理。核心产品的定义见“项目采购需求”规定。</w:t>
      </w:r>
    </w:p>
    <w:bookmarkEnd w:id="22"/>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3、串通投标的认定</w:t>
      </w:r>
    </w:p>
    <w:p>
      <w:pPr>
        <w:spacing w:before="120" w:line="320" w:lineRule="atLeast"/>
        <w:ind w:firstLine="420" w:firstLineChars="200"/>
        <w:rPr>
          <w:rFonts w:ascii="Arial" w:hAnsi="Arial" w:cs="Arial"/>
          <w:color w:val="auto"/>
          <w:highlight w:val="none"/>
        </w:rPr>
      </w:pPr>
      <w:r>
        <w:rPr>
          <w:rFonts w:ascii="Arial" w:hAnsi="Arial" w:cs="Arial"/>
          <w:color w:val="auto"/>
          <w:highlight w:val="none"/>
        </w:rPr>
        <w:t>（1）谈判小组须根据以下规定评审</w:t>
      </w:r>
      <w:r>
        <w:rPr>
          <w:rFonts w:ascii="Arial" w:hAnsi="Arial" w:cs="Arial"/>
          <w:bCs/>
          <w:color w:val="auto"/>
          <w:kern w:val="0"/>
          <w:szCs w:val="21"/>
          <w:highlight w:val="none"/>
        </w:rPr>
        <w:t>供应商是否有串通投标的行为，并按规定判定响应是否有效</w:t>
      </w:r>
      <w:r>
        <w:rPr>
          <w:rFonts w:ascii="Arial" w:hAnsi="Arial" w:cs="Arial"/>
          <w:color w:val="auto"/>
          <w:highlight w:val="none"/>
        </w:rPr>
        <w:t>。</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不同供应商的投标文件由同一单位或者个人编制；或不同供应商报名的IP地址一致的；</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不同供应商委托同一单位或者个人办理投标事宜；</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不同的供应商的投标文件载明的项目管理员为同一个人；</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④</w:t>
      </w:r>
      <w:r>
        <w:rPr>
          <w:rFonts w:ascii="Arial" w:hAnsi="Arial" w:cs="Arial"/>
          <w:color w:val="auto"/>
          <w:szCs w:val="21"/>
          <w:highlight w:val="none"/>
        </w:rPr>
        <w:t>不同供应商的投标文件异常一致或投标报价呈规律性差异；</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⑤</w:t>
      </w:r>
      <w:r>
        <w:rPr>
          <w:rFonts w:ascii="Arial" w:hAnsi="Arial" w:cs="Arial"/>
          <w:color w:val="auto"/>
          <w:szCs w:val="21"/>
          <w:highlight w:val="none"/>
        </w:rPr>
        <w:t>不同供应商的投标文件相互混装；</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⑥</w:t>
      </w:r>
      <w:r>
        <w:rPr>
          <w:rFonts w:ascii="Arial" w:hAnsi="Arial" w:cs="Arial"/>
          <w:color w:val="auto"/>
          <w:szCs w:val="21"/>
          <w:highlight w:val="none"/>
        </w:rPr>
        <w:t>不同供应商的保证金从同一单位或者个人账户转出。</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（2）投标人有下列情形之一的，属于恶意串通行为，投标（响应）文件将被视为无效。（本款所述投标等同于谈判或响应，中标人等同于成交供应商）</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①</w:t>
      </w:r>
      <w:r>
        <w:rPr>
          <w:rFonts w:ascii="Arial" w:hAnsi="Arial" w:cs="Arial"/>
          <w:color w:val="auto"/>
          <w:szCs w:val="21"/>
          <w:highlight w:val="none"/>
        </w:rPr>
        <w:t>供应商直接或者间接从采购人或者采购代理机构处获得其他供应商的相关信息并修改其投标文件或者响应文件；</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②</w:t>
      </w:r>
      <w:r>
        <w:rPr>
          <w:rFonts w:ascii="Arial" w:hAnsi="Arial" w:cs="Arial"/>
          <w:color w:val="auto"/>
          <w:szCs w:val="21"/>
          <w:highlight w:val="none"/>
        </w:rPr>
        <w:t>供应商按照采购人或者采购代理机构的授意撤换、修改投标文件或者响应文件;；</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供应商之间协商报价、技术方案等投标文件或者响应文件的实质性内容；</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④</w:t>
      </w:r>
      <w:r>
        <w:rPr>
          <w:rFonts w:ascii="Arial" w:hAnsi="Arial" w:cs="Arial"/>
          <w:color w:val="auto"/>
          <w:szCs w:val="21"/>
          <w:highlight w:val="none"/>
        </w:rPr>
        <w:t>属于同一集团、协会、商会等组织成员的供应商按照该组织要求协同参加采购活动；</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⑤</w:t>
      </w:r>
      <w:r>
        <w:rPr>
          <w:rFonts w:ascii="Arial" w:hAnsi="Arial" w:cs="Arial"/>
          <w:color w:val="auto"/>
          <w:szCs w:val="21"/>
          <w:highlight w:val="none"/>
        </w:rPr>
        <w:t>供应商之间事先约定一致抬高或者压低投标报价，或者在招标项目中事先约定轮流以高价位或者低价位中标，或者事先约定由某一特定供应商中标，然后再参加投标；</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⑥</w:t>
      </w:r>
      <w:r>
        <w:rPr>
          <w:rFonts w:ascii="Arial" w:hAnsi="Arial" w:cs="Arial"/>
          <w:color w:val="auto"/>
          <w:szCs w:val="21"/>
          <w:highlight w:val="none"/>
        </w:rPr>
        <w:t>供应商之间商定部分供应商放弃参加采购活动或者放弃中标；</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⑦</w:t>
      </w:r>
      <w:r>
        <w:rPr>
          <w:rFonts w:ascii="Arial" w:hAnsi="Arial" w:cs="Arial"/>
          <w:color w:val="auto"/>
          <w:szCs w:val="21"/>
          <w:highlight w:val="none"/>
        </w:rPr>
        <w:t>供应商与采购人或者采购代理机构之间、供应商相互之间，为谋求特定供应商中标或者排斥其他供应商的其他串通行为。</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4、响应有效性的认定</w:t>
      </w:r>
    </w:p>
    <w:p>
      <w:pPr>
        <w:spacing w:before="120" w:line="320" w:lineRule="atLeast"/>
        <w:ind w:firstLine="420" w:firstLineChars="200"/>
        <w:rPr>
          <w:rFonts w:ascii="Arial" w:hAnsi="Arial" w:cs="Arial"/>
          <w:color w:val="auto"/>
          <w:szCs w:val="21"/>
          <w:highlight w:val="none"/>
        </w:rPr>
      </w:pPr>
      <w:bookmarkStart w:id="24" w:name="_Hlk19113301"/>
      <w:r>
        <w:rPr>
          <w:rFonts w:ascii="Arial" w:hAnsi="Arial" w:cs="Arial"/>
          <w:color w:val="auto"/>
          <w:szCs w:val="21"/>
          <w:highlight w:val="none"/>
        </w:rPr>
        <w:t>（1）资格审查时，如发现下列情形之一的，响应文件将被视为无效：</w:t>
      </w:r>
    </w:p>
    <w:p>
      <w:pPr>
        <w:spacing w:before="120" w:line="320" w:lineRule="atLeast"/>
        <w:ind w:firstLine="420" w:firstLineChars="200"/>
        <w:rPr>
          <w:rStyle w:val="68"/>
          <w:rFonts w:ascii="Arial" w:hAnsi="Arial" w:cs="Arial"/>
          <w:color w:val="auto"/>
          <w:highlight w:val="none"/>
        </w:rPr>
      </w:pPr>
      <w:r>
        <w:rPr>
          <w:rFonts w:hint="eastAsia" w:ascii="宋体" w:hAnsi="宋体" w:cs="宋体"/>
          <w:color w:val="auto"/>
          <w:szCs w:val="21"/>
          <w:highlight w:val="none"/>
        </w:rPr>
        <w:t>①</w:t>
      </w:r>
      <w:r>
        <w:rPr>
          <w:rFonts w:ascii="Arial" w:hAnsi="Arial" w:cs="Arial"/>
          <w:color w:val="auto"/>
          <w:highlight w:val="none"/>
        </w:rPr>
        <w:t>未按照谈判文件的规定提交谈判保证金的；</w:t>
      </w:r>
    </w:p>
    <w:p>
      <w:pPr>
        <w:spacing w:before="120" w:line="320" w:lineRule="atLeast"/>
        <w:ind w:firstLine="420" w:firstLineChars="200"/>
        <w:rPr>
          <w:rFonts w:ascii="Arial" w:hAnsi="Arial" w:cs="Arial"/>
          <w:color w:val="auto"/>
          <w:highlight w:val="none"/>
        </w:rPr>
      </w:pPr>
      <w:r>
        <w:rPr>
          <w:rFonts w:hint="eastAsia" w:ascii="宋体" w:hAnsi="宋体" w:cs="宋体"/>
          <w:color w:val="auto"/>
          <w:szCs w:val="21"/>
          <w:highlight w:val="none"/>
        </w:rPr>
        <w:t>②</w:t>
      </w:r>
      <w:r>
        <w:rPr>
          <w:rFonts w:ascii="Arial" w:hAnsi="Arial" w:cs="Arial"/>
          <w:color w:val="auto"/>
          <w:highlight w:val="none"/>
        </w:rPr>
        <w:t>不具备谈判文件中规定的资格要求的；</w:t>
      </w:r>
    </w:p>
    <w:p>
      <w:pPr>
        <w:spacing w:before="120" w:line="320" w:lineRule="atLeast"/>
        <w:ind w:firstLine="420" w:firstLineChars="200"/>
        <w:rPr>
          <w:rStyle w:val="68"/>
          <w:rFonts w:ascii="Arial" w:hAnsi="Arial" w:cs="Arial"/>
          <w:color w:val="auto"/>
          <w:szCs w:val="21"/>
          <w:highlight w:val="none"/>
        </w:rPr>
      </w:pPr>
      <w:r>
        <w:rPr>
          <w:rFonts w:hint="eastAsia" w:ascii="宋体" w:hAnsi="宋体" w:cs="宋体"/>
          <w:color w:val="auto"/>
          <w:szCs w:val="21"/>
          <w:highlight w:val="none"/>
        </w:rPr>
        <w:t>③</w:t>
      </w:r>
      <w:r>
        <w:rPr>
          <w:rFonts w:ascii="Arial" w:hAnsi="Arial" w:cs="Arial"/>
          <w:color w:val="auto"/>
          <w:szCs w:val="21"/>
          <w:highlight w:val="none"/>
        </w:rPr>
        <w:t>响应文件签署（签名）、盖章不符合谈判文件要求的；</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（2）在符合性审查、商务和技术评估时，如发现下列情形之一的，响应文件将被视为无效：</w:t>
      </w:r>
    </w:p>
    <w:p>
      <w:pPr>
        <w:spacing w:before="120" w:line="320" w:lineRule="atLeast"/>
        <w:ind w:firstLine="420" w:firstLineChars="200"/>
        <w:rPr>
          <w:rFonts w:ascii="Arial" w:hAnsi="Arial" w:cs="Arial"/>
          <w:color w:val="auto"/>
          <w:highlight w:val="none"/>
        </w:rPr>
      </w:pPr>
      <w:r>
        <w:rPr>
          <w:rFonts w:hint="eastAsia" w:ascii="宋体" w:hAnsi="宋体" w:cs="宋体"/>
          <w:color w:val="auto"/>
          <w:szCs w:val="21"/>
          <w:highlight w:val="none"/>
        </w:rPr>
        <w:t>①</w:t>
      </w:r>
      <w:r>
        <w:rPr>
          <w:rFonts w:ascii="Arial" w:hAnsi="Arial" w:cs="Arial"/>
          <w:color w:val="auto"/>
          <w:highlight w:val="none"/>
        </w:rPr>
        <w:t>响应文件未按谈判文件要求签署、盖章的；</w:t>
      </w:r>
    </w:p>
    <w:p>
      <w:pPr>
        <w:spacing w:before="120" w:line="320" w:lineRule="atLeast"/>
        <w:ind w:firstLine="420" w:firstLineChars="200"/>
        <w:rPr>
          <w:rStyle w:val="68"/>
          <w:rFonts w:ascii="Arial" w:hAnsi="Arial" w:cs="Arial"/>
          <w:color w:val="auto"/>
          <w:highlight w:val="none"/>
        </w:rPr>
      </w:pPr>
      <w:r>
        <w:rPr>
          <w:rFonts w:hint="eastAsia" w:ascii="宋体" w:hAnsi="宋体" w:cs="宋体"/>
          <w:color w:val="auto"/>
          <w:szCs w:val="21"/>
          <w:highlight w:val="none"/>
        </w:rPr>
        <w:t>②</w:t>
      </w:r>
      <w:r>
        <w:rPr>
          <w:rFonts w:ascii="Arial" w:hAnsi="Arial" w:cs="Arial"/>
          <w:color w:val="auto"/>
          <w:highlight w:val="none"/>
        </w:rPr>
        <w:t>响应文件未按谈判文件要求提供第六章要求“必须提供”的内容的；</w:t>
      </w:r>
    </w:p>
    <w:p>
      <w:pPr>
        <w:spacing w:before="120" w:line="320" w:lineRule="atLeast"/>
        <w:ind w:firstLine="420" w:firstLineChars="200"/>
        <w:rPr>
          <w:rStyle w:val="68"/>
          <w:rFonts w:ascii="Arial" w:hAnsi="Arial" w:cs="Arial"/>
          <w:color w:val="auto"/>
          <w:highlight w:val="none"/>
        </w:rPr>
      </w:pPr>
      <w:r>
        <w:rPr>
          <w:rFonts w:hint="eastAsia" w:ascii="宋体" w:hAnsi="宋体" w:cs="宋体"/>
          <w:color w:val="auto"/>
          <w:szCs w:val="21"/>
          <w:highlight w:val="none"/>
        </w:rPr>
        <w:t>③</w:t>
      </w:r>
      <w:r>
        <w:rPr>
          <w:rFonts w:ascii="Arial" w:hAnsi="Arial" w:cs="Arial"/>
          <w:color w:val="auto"/>
          <w:szCs w:val="21"/>
          <w:highlight w:val="none"/>
        </w:rPr>
        <w:t>最后</w:t>
      </w:r>
      <w:r>
        <w:rPr>
          <w:rFonts w:ascii="Arial" w:hAnsi="Arial" w:cs="Arial"/>
          <w:color w:val="auto"/>
          <w:highlight w:val="none"/>
        </w:rPr>
        <w:t>报价超过谈判文件中规定的预算金额的；</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④</w:t>
      </w:r>
      <w:r>
        <w:rPr>
          <w:rFonts w:ascii="Arial" w:hAnsi="Arial" w:cs="Arial"/>
          <w:color w:val="auto"/>
          <w:szCs w:val="21"/>
          <w:highlight w:val="none"/>
        </w:rPr>
        <w:t>评审过程中发现响应文件中提供虚假材料的；</w:t>
      </w:r>
    </w:p>
    <w:p>
      <w:pPr>
        <w:spacing w:before="120" w:line="320" w:lineRule="atLeast"/>
        <w:ind w:firstLine="420" w:firstLineChars="200"/>
        <w:rPr>
          <w:rFonts w:ascii="Arial" w:hAnsi="Arial" w:cs="Arial"/>
          <w:color w:val="auto"/>
          <w:szCs w:val="21"/>
          <w:highlight w:val="none"/>
        </w:rPr>
      </w:pPr>
      <w:r>
        <w:rPr>
          <w:rFonts w:hint="eastAsia" w:ascii="宋体" w:hAnsi="宋体" w:cs="宋体"/>
          <w:color w:val="auto"/>
          <w:szCs w:val="21"/>
          <w:highlight w:val="none"/>
        </w:rPr>
        <w:t>⑤</w:t>
      </w:r>
      <w:r>
        <w:rPr>
          <w:rFonts w:ascii="Arial" w:hAnsi="Arial" w:cs="Arial"/>
          <w:color w:val="auto"/>
          <w:szCs w:val="21"/>
          <w:highlight w:val="none"/>
        </w:rPr>
        <w:t>法律、法规和谈判文件规定的其他无效情形。</w:t>
      </w:r>
    </w:p>
    <w:p>
      <w:pPr>
        <w:spacing w:before="120" w:line="320" w:lineRule="atLeast"/>
        <w:ind w:firstLine="420" w:firstLineChars="200"/>
        <w:rPr>
          <w:color w:val="auto"/>
          <w:szCs w:val="21"/>
          <w:highlight w:val="none"/>
        </w:rPr>
      </w:pPr>
      <w:bookmarkStart w:id="25" w:name="_Hlk87870378"/>
      <w:r>
        <w:rPr>
          <w:rFonts w:hint="eastAsia"/>
          <w:color w:val="auto"/>
          <w:szCs w:val="21"/>
          <w:highlight w:val="none"/>
        </w:rPr>
        <w:t>（</w:t>
      </w:r>
      <w:r>
        <w:rPr>
          <w:color w:val="auto"/>
          <w:szCs w:val="21"/>
          <w:highlight w:val="none"/>
        </w:rPr>
        <w:t>3</w:t>
      </w:r>
      <w:r>
        <w:rPr>
          <w:rFonts w:hint="eastAsia"/>
          <w:color w:val="auto"/>
          <w:szCs w:val="21"/>
          <w:highlight w:val="none"/>
        </w:rPr>
        <w:t>）谈判小组认定响应有效性时不得因装订、纸张、文件排序等非实质性的格式、形式问题否决响应文件，从而限制和影响供应商投标（响应）。</w:t>
      </w:r>
      <w:bookmarkEnd w:id="25"/>
    </w:p>
    <w:bookmarkEnd w:id="24"/>
    <w:p>
      <w:pPr>
        <w:spacing w:before="120" w:line="320" w:lineRule="atLeast"/>
        <w:ind w:firstLine="422" w:firstLineChars="200"/>
        <w:rPr>
          <w:rFonts w:ascii="Arial" w:hAnsi="Arial" w:cs="Arial"/>
          <w:b/>
          <w:bCs/>
          <w:color w:val="auto"/>
          <w:kern w:val="0"/>
          <w:szCs w:val="21"/>
          <w:highlight w:val="none"/>
        </w:rPr>
      </w:pPr>
      <w:r>
        <w:rPr>
          <w:rFonts w:hint="eastAsia" w:ascii="Arial" w:hAnsi="Arial" w:cs="Arial"/>
          <w:b/>
          <w:bCs/>
          <w:color w:val="auto"/>
          <w:kern w:val="0"/>
          <w:szCs w:val="21"/>
          <w:highlight w:val="none"/>
        </w:rPr>
        <w:t>5、</w:t>
      </w:r>
      <w:r>
        <w:rPr>
          <w:rFonts w:ascii="Arial" w:hAnsi="Arial" w:cs="Arial"/>
          <w:b/>
          <w:bCs/>
          <w:color w:val="auto"/>
          <w:kern w:val="0"/>
          <w:szCs w:val="21"/>
          <w:highlight w:val="none"/>
        </w:rPr>
        <w:t>谈判</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初步评审结束后，采购代理机构将在指定的时间及地点组织谈判。谈判过程中，谈判小组可以根据谈判文件和谈判情况实质性变动采购需求中的技术、服务要求以及合同草案条款，但不得变动谈判文件中的其他内容。实质性变动的内容，须经采购人代表确认。谈判程序如下：</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1）谈判小组将根据供应商的响应文件、陈述含混模糊之处或需要进一步了解的细节对供应商提出问题，供应商的授权代表（或法定代表人）必须进行回答。符合谈判资格的供应商必须在接到谈判通知后规定时间内参加谈判，未在规定时间内参加谈判的视同放弃参加谈判权利，其响应文件按无效响应处理。</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（2）在谈判过程中，谈判小组可以根据采购文件和谈判情况实质性变动采购需求中的技术、服务要求以及合同草案条款，但不得变动采购文件中的其他内容。实质性变动的内容，须经采购人代表确认。</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（3）对采购文件作出的实质性变动是采购文件的有效组成部分，由谈判小组以书面形式同时通知所有参加谈判的供应商。</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（4）供应商必须按照采购文件的变动情况和谈判小组的要求重新提交响应文件，并在规定时间内签章后提交至谈判小组。参加谈判的供应商未在规定时间内重新提交响应文件的，视同退出谈判。</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（5）最终报价：</w:t>
      </w:r>
      <w:r>
        <w:rPr>
          <w:rFonts w:hint="eastAsia" w:ascii="Arial" w:hAnsi="Arial" w:cs="Arial"/>
          <w:color w:val="auto"/>
          <w:kern w:val="0"/>
          <w:szCs w:val="21"/>
          <w:highlight w:val="none"/>
        </w:rPr>
        <w:t>最后报价采取书面密封方式，由谈判小组在评审现场与供应商进行谈判报价。最后报价不得超过采购预算金额或采购上限价且最后报价具有唯一性，不得提交两个以上不同的最后报价，否则，否决其响应。</w:t>
      </w:r>
    </w:p>
    <w:p>
      <w:pPr>
        <w:spacing w:before="120" w:line="320" w:lineRule="atLeast"/>
        <w:ind w:firstLine="422" w:firstLineChars="200"/>
        <w:rPr>
          <w:rFonts w:ascii="Arial" w:hAnsi="Arial" w:cs="Arial"/>
          <w:b/>
          <w:bCs/>
          <w:color w:val="auto"/>
          <w:kern w:val="0"/>
          <w:szCs w:val="21"/>
          <w:highlight w:val="none"/>
        </w:rPr>
      </w:pPr>
      <w:r>
        <w:rPr>
          <w:rFonts w:hint="eastAsia" w:ascii="Arial" w:hAnsi="Arial" w:cs="Arial"/>
          <w:b/>
          <w:bCs/>
          <w:color w:val="auto"/>
          <w:kern w:val="0"/>
          <w:szCs w:val="21"/>
          <w:highlight w:val="none"/>
        </w:rPr>
        <w:t>（6）过低报价合理性的审查：谈判小组认为供应商的报价明显低于其他通过符合性审查供应商的报价，有可能影响产品质量或者不能诚信履约的，应当要求其在合理的时间内提供书面说明并提交相关证明材料；谈判小组可以要求供应商就提供服务的主要成本、销售费用、管理费用、财务费用、履约费用、计划利润、税金及附加等成本构成事项进行详细陈述。书面说明应当经供应商确认后提交给谈判小组。供应商未按规定提供说明或不能证明其报价合理性的，谈判小组应当将其作为无效响应处理。</w:t>
      </w:r>
    </w:p>
    <w:p>
      <w:pPr>
        <w:spacing w:before="120" w:line="320" w:lineRule="atLeast"/>
        <w:ind w:firstLine="422" w:firstLineChars="200"/>
        <w:rPr>
          <w:rFonts w:ascii="Arial" w:hAnsi="Arial" w:cs="Arial"/>
          <w:b/>
          <w:bCs/>
          <w:color w:val="auto"/>
          <w:kern w:val="0"/>
          <w:szCs w:val="21"/>
          <w:highlight w:val="none"/>
        </w:rPr>
      </w:pPr>
      <w:r>
        <w:rPr>
          <w:rFonts w:hint="eastAsia" w:ascii="Arial" w:hAnsi="Arial" w:cs="Arial"/>
          <w:b/>
          <w:bCs/>
          <w:color w:val="auto"/>
          <w:kern w:val="0"/>
          <w:szCs w:val="21"/>
          <w:highlight w:val="none"/>
        </w:rPr>
        <w:t>报价合理性书面说明应当有签字或盖章确认，供应商为法人的，由其法定代表人或者授权代表签名或盖章确认；供应商为其他组织的，由其主要负责人或者授权代表签名或盖章确认；供应商为自然人的，由其本人或者授权代表签名或盖章确认。</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采购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最后报价是供应商响应文件的有效组成部分。最后报价不得超过采购预算金额及最高限价（如有）且具有唯一性，否则否决其响应。</w:t>
      </w:r>
    </w:p>
    <w:p>
      <w:pPr>
        <w:spacing w:before="120" w:line="320" w:lineRule="atLeast"/>
        <w:ind w:firstLine="420" w:firstLineChars="200"/>
        <w:rPr>
          <w:rFonts w:ascii="Arial" w:hAnsi="Arial" w:cs="Arial"/>
          <w:color w:val="auto"/>
          <w:kern w:val="0"/>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7</w:t>
      </w:r>
      <w:r>
        <w:rPr>
          <w:rFonts w:ascii="Arial" w:hAnsi="Arial" w:cs="Arial"/>
          <w:color w:val="auto"/>
          <w:kern w:val="0"/>
          <w:szCs w:val="21"/>
          <w:highlight w:val="none"/>
        </w:rPr>
        <w:t>）已提交响应文件的供应商，在提交最后报价之前，可以根据谈判情况退出谈判。退出谈判的说明须经授权代表或法定代表人签章或盖公章递交至采购代理机构，并及时通知项目负责人。谈判小组在评审报告中注明退出谈判的供应商名单。采购人、采购代理机构应当退还退出谈判的供应商的谈判保证金。</w:t>
      </w:r>
    </w:p>
    <w:p>
      <w:pPr>
        <w:spacing w:before="120" w:line="320" w:lineRule="atLeast"/>
        <w:ind w:firstLine="420" w:firstLineChars="200"/>
        <w:rPr>
          <w:rFonts w:ascii="Arial" w:hAnsi="Arial" w:cs="Arial"/>
          <w:color w:val="auto"/>
          <w:szCs w:val="21"/>
          <w:highlight w:val="none"/>
        </w:rPr>
      </w:pPr>
      <w:r>
        <w:rPr>
          <w:rFonts w:ascii="Arial" w:hAnsi="Arial" w:cs="Arial"/>
          <w:color w:val="auto"/>
          <w:kern w:val="0"/>
          <w:szCs w:val="21"/>
          <w:highlight w:val="none"/>
        </w:rPr>
        <w:t>（</w:t>
      </w:r>
      <w:r>
        <w:rPr>
          <w:rFonts w:hint="eastAsia" w:ascii="Arial" w:hAnsi="Arial" w:cs="Arial"/>
          <w:color w:val="auto"/>
          <w:kern w:val="0"/>
          <w:szCs w:val="21"/>
          <w:highlight w:val="none"/>
        </w:rPr>
        <w:t>8</w:t>
      </w:r>
      <w:r>
        <w:rPr>
          <w:rFonts w:ascii="Arial" w:hAnsi="Arial" w:cs="Arial"/>
          <w:color w:val="auto"/>
          <w:kern w:val="0"/>
          <w:szCs w:val="21"/>
          <w:highlight w:val="none"/>
        </w:rPr>
        <w:t>）谈判达成。谈判的结果以书面为准，经供应商和谈判小组代表确认后，替代谈判文件或响应文件中相应的内容，并作为构成响应文件的一部分和作为评审的依据。如成交，则作为合同、履约等的组成部份。</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6、澄清、说明或补正</w:t>
      </w:r>
    </w:p>
    <w:p>
      <w:pPr>
        <w:adjustRightInd w:val="0"/>
        <w:snapToGrid w:val="0"/>
        <w:spacing w:line="360" w:lineRule="auto"/>
        <w:ind w:firstLine="420" w:firstLineChars="200"/>
        <w:jc w:val="left"/>
        <w:rPr>
          <w:rFonts w:ascii="Arial" w:hAnsi="Arial" w:cs="Arial"/>
          <w:color w:val="auto"/>
          <w:szCs w:val="21"/>
          <w:highlight w:val="none"/>
        </w:rPr>
      </w:pPr>
      <w:r>
        <w:rPr>
          <w:rFonts w:ascii="Arial" w:hAnsi="Arial" w:cs="Arial"/>
          <w:color w:val="auto"/>
          <w:szCs w:val="21"/>
          <w:highlight w:val="none"/>
        </w:rPr>
        <w:t>对响应文件中含义不明确、同类问题表述不一致或者有明显文字和计算错误的内容，谈判小组可要求供应商在合理时间内通过</w:t>
      </w:r>
      <w:r>
        <w:rPr>
          <w:rFonts w:hint="eastAsia" w:ascii="Arial" w:hAnsi="Arial" w:cs="Arial"/>
          <w:color w:val="auto"/>
          <w:szCs w:val="21"/>
          <w:highlight w:val="none"/>
        </w:rPr>
        <w:t>书面</w:t>
      </w:r>
      <w:r>
        <w:rPr>
          <w:rFonts w:ascii="Arial" w:hAnsi="Arial" w:cs="Arial"/>
          <w:color w:val="auto"/>
          <w:szCs w:val="21"/>
          <w:highlight w:val="none"/>
        </w:rPr>
        <w:t>方式作出必要的澄清、说明或者纠正。内容不得超出响应文件的范围或者改变响应文件的实质性内容。逾期未做澄清、说明或者纠正的，经电话催告仍不澄清的，视为放弃。</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7、成交候选供应商确定原则</w:t>
      </w:r>
    </w:p>
    <w:p>
      <w:pPr>
        <w:spacing w:before="120" w:line="320" w:lineRule="atLeast"/>
        <w:ind w:firstLine="420" w:firstLineChars="200"/>
        <w:rPr>
          <w:rFonts w:ascii="Arial" w:hAnsi="Arial" w:cs="Arial"/>
          <w:color w:val="auto"/>
          <w:szCs w:val="21"/>
          <w:highlight w:val="none"/>
        </w:rPr>
      </w:pPr>
      <w:r>
        <w:rPr>
          <w:rFonts w:ascii="Arial" w:hAnsi="Arial" w:cs="Arial"/>
          <w:color w:val="auto"/>
          <w:szCs w:val="21"/>
          <w:highlight w:val="none"/>
        </w:rPr>
        <w:t>谈判小组按扣除后的价格由低到高的顺序排列推荐3名以上供应商为本项目（或分标）的成交候选供应商，排名第一的为第一成交候选供应商。若供应商的响应最后报价经扣除后价格相同，则按服务条款的优劣顺序排列。若仍相同的，由谈判小组采用记名投票方式确定。</w:t>
      </w:r>
    </w:p>
    <w:p>
      <w:pPr>
        <w:spacing w:before="120" w:line="320" w:lineRule="atLeast"/>
        <w:ind w:firstLine="413" w:firstLineChars="196"/>
        <w:outlineLvl w:val="1"/>
        <w:rPr>
          <w:rFonts w:ascii="Arial" w:hAnsi="Arial" w:cs="Arial"/>
          <w:b/>
          <w:bCs/>
          <w:color w:val="auto"/>
          <w:kern w:val="0"/>
          <w:szCs w:val="21"/>
          <w:highlight w:val="none"/>
        </w:rPr>
      </w:pPr>
      <w:r>
        <w:rPr>
          <w:rFonts w:ascii="Arial" w:hAnsi="Arial" w:cs="Arial"/>
          <w:b/>
          <w:bCs/>
          <w:color w:val="auto"/>
          <w:kern w:val="0"/>
          <w:szCs w:val="21"/>
          <w:highlight w:val="none"/>
        </w:rPr>
        <w:t>8、评审争议处理</w:t>
      </w:r>
    </w:p>
    <w:p>
      <w:pPr>
        <w:spacing w:before="120" w:line="320" w:lineRule="atLeast"/>
        <w:ind w:firstLine="420" w:firstLineChars="200"/>
        <w:rPr>
          <w:rFonts w:ascii="Arial" w:hAnsi="Arial" w:cs="Arial"/>
          <w:color w:val="auto"/>
          <w:szCs w:val="21"/>
          <w:highlight w:val="none"/>
        </w:rPr>
      </w:pPr>
      <w:r>
        <w:rPr>
          <w:rFonts w:ascii="Arial" w:hAnsi="Arial" w:cs="Arial"/>
          <w:color w:val="auto"/>
          <w:highlight w:val="none"/>
        </w:rPr>
        <w:t>谈判小组成员对需要共同认定的事项存在争议的，应当按照少数服从多数的原则作出结论。持不同意见的谈判小组成员应当在评审报告上签署不同意见及理由，否则视为同意评审报告。</w:t>
      </w:r>
    </w:p>
    <w:bookmarkEnd w:id="18"/>
    <w:bookmarkEnd w:id="19"/>
    <w:p>
      <w:pPr>
        <w:pStyle w:val="23"/>
        <w:snapToGrid w:val="0"/>
        <w:spacing w:before="120" w:after="120"/>
        <w:rPr>
          <w:rFonts w:ascii="Arial" w:hAnsi="Arial" w:cs="Arial"/>
          <w:b/>
          <w:color w:val="auto"/>
          <w:sz w:val="32"/>
          <w:szCs w:val="32"/>
          <w:highlight w:val="none"/>
        </w:rPr>
        <w:sectPr>
          <w:headerReference r:id="rId11" w:type="first"/>
          <w:headerReference r:id="rId10" w:type="default"/>
          <w:pgSz w:w="11906" w:h="16838"/>
          <w:pgMar w:top="850" w:right="1133" w:bottom="850" w:left="1134" w:header="454" w:footer="454" w:gutter="0"/>
          <w:cols w:space="720" w:num="1"/>
          <w:docGrid w:linePitch="312" w:charSpace="0"/>
        </w:sectPr>
      </w:pPr>
    </w:p>
    <w:p>
      <w:pPr>
        <w:pStyle w:val="23"/>
        <w:snapToGrid w:val="0"/>
        <w:spacing w:before="120" w:after="120" w:line="320" w:lineRule="exact"/>
        <w:jc w:val="center"/>
        <w:outlineLvl w:val="0"/>
        <w:rPr>
          <w:rFonts w:ascii="Arial" w:hAnsi="Arial" w:cs="Arial"/>
          <w:color w:val="auto"/>
          <w:sz w:val="32"/>
          <w:szCs w:val="32"/>
          <w:highlight w:val="none"/>
        </w:rPr>
      </w:pPr>
      <w:bookmarkStart w:id="26" w:name="_Toc489863688"/>
      <w:bookmarkStart w:id="27" w:name="_Toc24110"/>
      <w:r>
        <w:rPr>
          <w:rFonts w:ascii="Arial" w:hAnsi="Arial" w:cs="Arial"/>
          <w:color w:val="auto"/>
          <w:sz w:val="32"/>
          <w:szCs w:val="32"/>
          <w:highlight w:val="none"/>
        </w:rPr>
        <w:t>第五章  合同主要条款格式</w:t>
      </w:r>
      <w:bookmarkEnd w:id="26"/>
      <w:bookmarkEnd w:id="27"/>
    </w:p>
    <w:p>
      <w:pPr>
        <w:spacing w:before="120" w:line="320" w:lineRule="atLeast"/>
        <w:ind w:firstLine="422" w:firstLineChars="200"/>
        <w:jc w:val="center"/>
        <w:outlineLvl w:val="1"/>
        <w:rPr>
          <w:rFonts w:ascii="Arial" w:hAnsi="Arial" w:cs="Arial"/>
          <w:b/>
          <w:bCs/>
          <w:color w:val="auto"/>
          <w:kern w:val="0"/>
          <w:szCs w:val="21"/>
          <w:highlight w:val="none"/>
        </w:rPr>
      </w:pPr>
      <w:r>
        <w:rPr>
          <w:rFonts w:ascii="Arial" w:hAnsi="Arial" w:cs="Arial"/>
          <w:b/>
          <w:bCs/>
          <w:color w:val="auto"/>
          <w:kern w:val="0"/>
          <w:szCs w:val="21"/>
          <w:highlight w:val="none"/>
        </w:rPr>
        <w:t>采购合同</w:t>
      </w:r>
    </w:p>
    <w:p>
      <w:pPr>
        <w:snapToGrid w:val="0"/>
        <w:spacing w:line="360" w:lineRule="exact"/>
        <w:ind w:right="480" w:firstLine="5985" w:firstLineChars="2850"/>
        <w:rPr>
          <w:rFonts w:ascii="Arial" w:hAnsi="Arial" w:cs="Arial"/>
          <w:bCs/>
          <w:color w:val="auto"/>
          <w:szCs w:val="21"/>
          <w:highlight w:val="none"/>
        </w:rPr>
      </w:pPr>
    </w:p>
    <w:p>
      <w:pPr>
        <w:snapToGrid w:val="0"/>
        <w:spacing w:line="360" w:lineRule="exact"/>
        <w:ind w:right="480" w:firstLine="5985" w:firstLineChars="2850"/>
        <w:rPr>
          <w:rFonts w:ascii="Arial" w:hAnsi="Arial" w:cs="Arial"/>
          <w:bCs/>
          <w:color w:val="auto"/>
          <w:szCs w:val="21"/>
          <w:highlight w:val="none"/>
          <w:u w:val="single"/>
        </w:rPr>
      </w:pPr>
      <w:r>
        <w:rPr>
          <w:rFonts w:ascii="Arial" w:hAnsi="Arial" w:cs="Arial"/>
          <w:bCs/>
          <w:color w:val="auto"/>
          <w:szCs w:val="21"/>
          <w:highlight w:val="none"/>
        </w:rPr>
        <w:t>合同编号：</w:t>
      </w:r>
    </w:p>
    <w:p>
      <w:pPr>
        <w:snapToGrid w:val="0"/>
        <w:spacing w:line="360" w:lineRule="exact"/>
        <w:rPr>
          <w:rFonts w:ascii="Arial" w:hAnsi="Arial" w:cs="Arial"/>
          <w:color w:val="auto"/>
          <w:szCs w:val="21"/>
          <w:highlight w:val="none"/>
        </w:rPr>
      </w:pPr>
    </w:p>
    <w:p>
      <w:pPr>
        <w:snapToGrid w:val="0"/>
        <w:spacing w:line="360" w:lineRule="exact"/>
        <w:rPr>
          <w:rFonts w:ascii="Arial" w:hAnsi="Arial" w:cs="Arial"/>
          <w:color w:val="auto"/>
          <w:szCs w:val="21"/>
          <w:highlight w:val="none"/>
          <w:u w:val="single"/>
        </w:rPr>
      </w:pPr>
      <w:r>
        <w:rPr>
          <w:rFonts w:ascii="Arial" w:hAnsi="Arial" w:cs="Arial"/>
          <w:color w:val="auto"/>
          <w:szCs w:val="21"/>
          <w:highlight w:val="none"/>
        </w:rPr>
        <w:t>采购人（甲方）</w:t>
      </w:r>
      <w:r>
        <w:rPr>
          <w:rFonts w:ascii="Arial" w:hAnsi="Arial" w:cs="Arial"/>
          <w:color w:val="auto"/>
          <w:szCs w:val="21"/>
          <w:highlight w:val="none"/>
          <w:u w:val="single"/>
        </w:rPr>
        <w:t xml:space="preserve">                          </w:t>
      </w:r>
      <w:r>
        <w:rPr>
          <w:rFonts w:ascii="Arial" w:hAnsi="Arial" w:cs="Arial"/>
          <w:color w:val="auto"/>
          <w:szCs w:val="21"/>
          <w:highlight w:val="none"/>
        </w:rPr>
        <w:t xml:space="preserve">  </w:t>
      </w:r>
      <w:r>
        <w:rPr>
          <w:rFonts w:ascii="Arial" w:hAnsi="Arial" w:cs="Arial"/>
          <w:color w:val="auto"/>
          <w:spacing w:val="-20"/>
          <w:szCs w:val="21"/>
          <w:highlight w:val="none"/>
        </w:rPr>
        <w:t>采 购 计 划 号</w:t>
      </w:r>
      <w:r>
        <w:rPr>
          <w:rFonts w:ascii="Arial" w:hAnsi="Arial" w:cs="Arial"/>
          <w:color w:val="auto"/>
          <w:szCs w:val="21"/>
          <w:highlight w:val="none"/>
          <w:u w:val="single"/>
        </w:rPr>
        <w:t xml:space="preserve">                        </w:t>
      </w:r>
    </w:p>
    <w:p>
      <w:pPr>
        <w:snapToGrid w:val="0"/>
        <w:spacing w:line="360" w:lineRule="exact"/>
        <w:rPr>
          <w:rFonts w:ascii="Arial" w:hAnsi="Arial" w:cs="Arial"/>
          <w:color w:val="auto"/>
          <w:szCs w:val="21"/>
          <w:highlight w:val="none"/>
          <w:u w:val="single"/>
        </w:rPr>
      </w:pPr>
      <w:r>
        <w:rPr>
          <w:rFonts w:ascii="Arial" w:hAnsi="Arial" w:cs="Arial"/>
          <w:color w:val="auto"/>
          <w:szCs w:val="21"/>
          <w:highlight w:val="none"/>
        </w:rPr>
        <w:t>供 应 商（乙方）</w:t>
      </w:r>
      <w:r>
        <w:rPr>
          <w:rFonts w:ascii="Arial" w:hAnsi="Arial" w:cs="Arial"/>
          <w:color w:val="auto"/>
          <w:szCs w:val="21"/>
          <w:highlight w:val="none"/>
          <w:u w:val="single"/>
        </w:rPr>
        <w:t xml:space="preserve">                          </w:t>
      </w:r>
      <w:r>
        <w:rPr>
          <w:rFonts w:ascii="Arial" w:hAnsi="Arial" w:cs="Arial"/>
          <w:color w:val="auto"/>
          <w:szCs w:val="21"/>
          <w:highlight w:val="none"/>
        </w:rPr>
        <w:t xml:space="preserve">  项目名称</w:t>
      </w:r>
      <w:r>
        <w:rPr>
          <w:rFonts w:ascii="Arial" w:hAnsi="Arial" w:cs="Arial"/>
          <w:color w:val="auto"/>
          <w:spacing w:val="-20"/>
          <w:szCs w:val="21"/>
          <w:highlight w:val="none"/>
        </w:rPr>
        <w:t>编号</w:t>
      </w:r>
      <w:r>
        <w:rPr>
          <w:rFonts w:ascii="Arial" w:hAnsi="Arial" w:cs="Arial"/>
          <w:color w:val="auto"/>
          <w:szCs w:val="21"/>
          <w:highlight w:val="none"/>
          <w:u w:val="single"/>
        </w:rPr>
        <w:t xml:space="preserve">                       </w:t>
      </w:r>
    </w:p>
    <w:p>
      <w:pPr>
        <w:snapToGrid w:val="0"/>
        <w:spacing w:line="360" w:lineRule="exact"/>
        <w:rPr>
          <w:rFonts w:ascii="Arial" w:hAnsi="Arial" w:cs="Arial"/>
          <w:color w:val="auto"/>
          <w:szCs w:val="21"/>
          <w:highlight w:val="none"/>
          <w:u w:val="single"/>
        </w:rPr>
      </w:pPr>
      <w:r>
        <w:rPr>
          <w:rFonts w:ascii="Arial" w:hAnsi="Arial" w:cs="Arial"/>
          <w:color w:val="auto"/>
          <w:szCs w:val="21"/>
          <w:highlight w:val="none"/>
        </w:rPr>
        <w:t xml:space="preserve">签  订  地  点  </w:t>
      </w:r>
      <w:r>
        <w:rPr>
          <w:rFonts w:ascii="Arial" w:hAnsi="Arial" w:cs="Arial"/>
          <w:color w:val="auto"/>
          <w:szCs w:val="21"/>
          <w:highlight w:val="none"/>
          <w:u w:val="single"/>
        </w:rPr>
        <w:t xml:space="preserve">                          </w:t>
      </w:r>
      <w:r>
        <w:rPr>
          <w:rFonts w:ascii="Arial" w:hAnsi="Arial" w:cs="Arial"/>
          <w:color w:val="auto"/>
          <w:szCs w:val="21"/>
          <w:highlight w:val="none"/>
        </w:rPr>
        <w:t xml:space="preserve">  签 订 时 间</w:t>
      </w:r>
      <w:r>
        <w:rPr>
          <w:rFonts w:ascii="Arial" w:hAnsi="Arial" w:cs="Arial"/>
          <w:color w:val="auto"/>
          <w:szCs w:val="21"/>
          <w:highlight w:val="none"/>
          <w:u w:val="single"/>
        </w:rPr>
        <w:t xml:space="preserve">                       </w:t>
      </w:r>
    </w:p>
    <w:p>
      <w:pPr>
        <w:snapToGrid w:val="0"/>
        <w:spacing w:line="360" w:lineRule="exact"/>
        <w:ind w:firstLine="420" w:firstLineChars="200"/>
        <w:rPr>
          <w:rFonts w:ascii="Arial" w:hAnsi="Arial" w:cs="Arial"/>
          <w:color w:val="auto"/>
          <w:szCs w:val="21"/>
          <w:highlight w:val="none"/>
        </w:rPr>
      </w:pPr>
    </w:p>
    <w:p>
      <w:pPr>
        <w:pStyle w:val="23"/>
        <w:spacing w:line="420" w:lineRule="exact"/>
        <w:ind w:firstLine="420" w:firstLineChars="200"/>
        <w:rPr>
          <w:rFonts w:ascii="Arial" w:hAnsi="Arial" w:cs="Arial"/>
          <w:color w:val="auto"/>
          <w:highlight w:val="none"/>
        </w:rPr>
      </w:pPr>
      <w:r>
        <w:rPr>
          <w:rFonts w:ascii="Arial" w:hAnsi="Arial" w:cs="Arial"/>
          <w:color w:val="auto"/>
          <w:highlight w:val="none"/>
        </w:rPr>
        <w:t>根据</w:t>
      </w:r>
      <w:r>
        <w:rPr>
          <w:rFonts w:hint="eastAsia" w:ascii="Arial" w:hAnsi="Arial" w:cs="Arial"/>
          <w:color w:val="auto"/>
          <w:highlight w:val="none"/>
        </w:rPr>
        <w:t>《中华人民共和国民法典》</w:t>
      </w:r>
      <w:r>
        <w:rPr>
          <w:rFonts w:ascii="Arial" w:hAnsi="Arial" w:cs="Arial"/>
          <w:color w:val="auto"/>
          <w:highlight w:val="none"/>
        </w:rPr>
        <w:t>等法律、法规规定，按照谈判文件规定条款和乙方响应文件及其承诺，甲乙双方签订本合同。</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第一条　合同标的</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1.供货一览表</w:t>
      </w:r>
    </w:p>
    <w:tbl>
      <w:tblPr>
        <w:tblStyle w:val="4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304"/>
        <w:gridCol w:w="1081"/>
        <w:gridCol w:w="1194"/>
        <w:gridCol w:w="1193"/>
        <w:gridCol w:w="672"/>
        <w:gridCol w:w="108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496"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序号</w:t>
            </w:r>
          </w:p>
        </w:tc>
        <w:tc>
          <w:tcPr>
            <w:tcW w:w="1304"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产品</w:t>
            </w:r>
          </w:p>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名称</w:t>
            </w:r>
          </w:p>
        </w:tc>
        <w:tc>
          <w:tcPr>
            <w:tcW w:w="1081"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商标</w:t>
            </w:r>
          </w:p>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品牌</w:t>
            </w:r>
          </w:p>
        </w:tc>
        <w:tc>
          <w:tcPr>
            <w:tcW w:w="1194"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型号</w:t>
            </w:r>
          </w:p>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参数</w:t>
            </w:r>
          </w:p>
        </w:tc>
        <w:tc>
          <w:tcPr>
            <w:tcW w:w="1193"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生产</w:t>
            </w:r>
          </w:p>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厂家</w:t>
            </w:r>
          </w:p>
        </w:tc>
        <w:tc>
          <w:tcPr>
            <w:tcW w:w="672"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数  量</w:t>
            </w:r>
          </w:p>
        </w:tc>
        <w:tc>
          <w:tcPr>
            <w:tcW w:w="1080"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单位</w:t>
            </w:r>
          </w:p>
        </w:tc>
        <w:tc>
          <w:tcPr>
            <w:tcW w:w="1080"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单  价</w:t>
            </w:r>
          </w:p>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（元）</w:t>
            </w:r>
          </w:p>
        </w:tc>
        <w:tc>
          <w:tcPr>
            <w:tcW w:w="1440"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总  价</w:t>
            </w:r>
          </w:p>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1</w:t>
            </w:r>
          </w:p>
        </w:tc>
        <w:tc>
          <w:tcPr>
            <w:tcW w:w="1304" w:type="dxa"/>
            <w:vAlign w:val="center"/>
          </w:tcPr>
          <w:p>
            <w:pPr>
              <w:snapToGrid w:val="0"/>
              <w:spacing w:line="360" w:lineRule="exact"/>
              <w:jc w:val="center"/>
              <w:rPr>
                <w:rFonts w:ascii="Arial" w:hAnsi="Arial" w:cs="Arial"/>
                <w:color w:val="auto"/>
                <w:szCs w:val="21"/>
                <w:highlight w:val="none"/>
              </w:rPr>
            </w:pPr>
          </w:p>
        </w:tc>
        <w:tc>
          <w:tcPr>
            <w:tcW w:w="1081" w:type="dxa"/>
            <w:vAlign w:val="center"/>
          </w:tcPr>
          <w:p>
            <w:pPr>
              <w:snapToGrid w:val="0"/>
              <w:spacing w:line="360" w:lineRule="exact"/>
              <w:jc w:val="center"/>
              <w:rPr>
                <w:rFonts w:ascii="Arial" w:hAnsi="Arial" w:cs="Arial"/>
                <w:color w:val="auto"/>
                <w:szCs w:val="21"/>
                <w:highlight w:val="none"/>
              </w:rPr>
            </w:pPr>
          </w:p>
        </w:tc>
        <w:tc>
          <w:tcPr>
            <w:tcW w:w="1194" w:type="dxa"/>
            <w:vAlign w:val="center"/>
          </w:tcPr>
          <w:p>
            <w:pPr>
              <w:snapToGrid w:val="0"/>
              <w:spacing w:line="360" w:lineRule="exact"/>
              <w:jc w:val="center"/>
              <w:rPr>
                <w:rFonts w:ascii="Arial" w:hAnsi="Arial" w:cs="Arial"/>
                <w:color w:val="auto"/>
                <w:szCs w:val="21"/>
                <w:highlight w:val="none"/>
              </w:rPr>
            </w:pPr>
          </w:p>
        </w:tc>
        <w:tc>
          <w:tcPr>
            <w:tcW w:w="1193" w:type="dxa"/>
          </w:tcPr>
          <w:p>
            <w:pPr>
              <w:snapToGrid w:val="0"/>
              <w:spacing w:line="360" w:lineRule="exact"/>
              <w:jc w:val="center"/>
              <w:rPr>
                <w:rFonts w:ascii="Arial" w:hAnsi="Arial" w:cs="Arial"/>
                <w:color w:val="auto"/>
                <w:szCs w:val="21"/>
                <w:highlight w:val="none"/>
              </w:rPr>
            </w:pPr>
          </w:p>
        </w:tc>
        <w:tc>
          <w:tcPr>
            <w:tcW w:w="672" w:type="dxa"/>
          </w:tcPr>
          <w:p>
            <w:pPr>
              <w:snapToGrid w:val="0"/>
              <w:spacing w:line="360" w:lineRule="exact"/>
              <w:jc w:val="center"/>
              <w:rPr>
                <w:rFonts w:ascii="Arial" w:hAnsi="Arial" w:cs="Arial"/>
                <w:color w:val="auto"/>
                <w:szCs w:val="21"/>
                <w:highlight w:val="none"/>
              </w:rPr>
            </w:pPr>
          </w:p>
        </w:tc>
        <w:tc>
          <w:tcPr>
            <w:tcW w:w="1080" w:type="dxa"/>
          </w:tcPr>
          <w:p>
            <w:pPr>
              <w:snapToGrid w:val="0"/>
              <w:spacing w:line="360" w:lineRule="exact"/>
              <w:jc w:val="center"/>
              <w:rPr>
                <w:rFonts w:ascii="Arial" w:hAnsi="Arial" w:cs="Arial"/>
                <w:color w:val="auto"/>
                <w:szCs w:val="21"/>
                <w:highlight w:val="none"/>
              </w:rPr>
            </w:pPr>
          </w:p>
        </w:tc>
        <w:tc>
          <w:tcPr>
            <w:tcW w:w="1080" w:type="dxa"/>
            <w:vAlign w:val="center"/>
          </w:tcPr>
          <w:p>
            <w:pPr>
              <w:snapToGrid w:val="0"/>
              <w:spacing w:line="360" w:lineRule="exact"/>
              <w:jc w:val="center"/>
              <w:rPr>
                <w:rFonts w:ascii="Arial" w:hAnsi="Arial" w:cs="Arial"/>
                <w:color w:val="auto"/>
                <w:szCs w:val="21"/>
                <w:highlight w:val="none"/>
              </w:rPr>
            </w:pPr>
          </w:p>
        </w:tc>
        <w:tc>
          <w:tcPr>
            <w:tcW w:w="1440" w:type="dxa"/>
            <w:vAlign w:val="center"/>
          </w:tcPr>
          <w:p>
            <w:pPr>
              <w:snapToGrid w:val="0"/>
              <w:spacing w:line="36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2</w:t>
            </w:r>
          </w:p>
        </w:tc>
        <w:tc>
          <w:tcPr>
            <w:tcW w:w="1304" w:type="dxa"/>
            <w:vAlign w:val="center"/>
          </w:tcPr>
          <w:p>
            <w:pPr>
              <w:snapToGrid w:val="0"/>
              <w:spacing w:line="360" w:lineRule="exact"/>
              <w:jc w:val="center"/>
              <w:rPr>
                <w:rFonts w:ascii="Arial" w:hAnsi="Arial" w:cs="Arial"/>
                <w:color w:val="auto"/>
                <w:szCs w:val="21"/>
                <w:highlight w:val="none"/>
              </w:rPr>
            </w:pPr>
          </w:p>
        </w:tc>
        <w:tc>
          <w:tcPr>
            <w:tcW w:w="1081" w:type="dxa"/>
            <w:vAlign w:val="center"/>
          </w:tcPr>
          <w:p>
            <w:pPr>
              <w:snapToGrid w:val="0"/>
              <w:spacing w:line="360" w:lineRule="exact"/>
              <w:jc w:val="center"/>
              <w:rPr>
                <w:rFonts w:ascii="Arial" w:hAnsi="Arial" w:cs="Arial"/>
                <w:color w:val="auto"/>
                <w:szCs w:val="21"/>
                <w:highlight w:val="none"/>
              </w:rPr>
            </w:pPr>
          </w:p>
        </w:tc>
        <w:tc>
          <w:tcPr>
            <w:tcW w:w="1194" w:type="dxa"/>
            <w:vAlign w:val="center"/>
          </w:tcPr>
          <w:p>
            <w:pPr>
              <w:snapToGrid w:val="0"/>
              <w:spacing w:line="360" w:lineRule="exact"/>
              <w:jc w:val="center"/>
              <w:rPr>
                <w:rFonts w:ascii="Arial" w:hAnsi="Arial" w:cs="Arial"/>
                <w:color w:val="auto"/>
                <w:szCs w:val="21"/>
                <w:highlight w:val="none"/>
              </w:rPr>
            </w:pPr>
          </w:p>
        </w:tc>
        <w:tc>
          <w:tcPr>
            <w:tcW w:w="1193" w:type="dxa"/>
          </w:tcPr>
          <w:p>
            <w:pPr>
              <w:snapToGrid w:val="0"/>
              <w:spacing w:line="360" w:lineRule="exact"/>
              <w:jc w:val="center"/>
              <w:rPr>
                <w:rFonts w:ascii="Arial" w:hAnsi="Arial" w:cs="Arial"/>
                <w:color w:val="auto"/>
                <w:szCs w:val="21"/>
                <w:highlight w:val="none"/>
              </w:rPr>
            </w:pPr>
          </w:p>
        </w:tc>
        <w:tc>
          <w:tcPr>
            <w:tcW w:w="672" w:type="dxa"/>
          </w:tcPr>
          <w:p>
            <w:pPr>
              <w:snapToGrid w:val="0"/>
              <w:spacing w:line="360" w:lineRule="exact"/>
              <w:jc w:val="center"/>
              <w:rPr>
                <w:rFonts w:ascii="Arial" w:hAnsi="Arial" w:cs="Arial"/>
                <w:color w:val="auto"/>
                <w:szCs w:val="21"/>
                <w:highlight w:val="none"/>
              </w:rPr>
            </w:pPr>
          </w:p>
        </w:tc>
        <w:tc>
          <w:tcPr>
            <w:tcW w:w="1080" w:type="dxa"/>
          </w:tcPr>
          <w:p>
            <w:pPr>
              <w:snapToGrid w:val="0"/>
              <w:spacing w:line="360" w:lineRule="exact"/>
              <w:jc w:val="center"/>
              <w:rPr>
                <w:rFonts w:ascii="Arial" w:hAnsi="Arial" w:cs="Arial"/>
                <w:color w:val="auto"/>
                <w:szCs w:val="21"/>
                <w:highlight w:val="none"/>
              </w:rPr>
            </w:pPr>
          </w:p>
        </w:tc>
        <w:tc>
          <w:tcPr>
            <w:tcW w:w="1080" w:type="dxa"/>
            <w:vAlign w:val="center"/>
          </w:tcPr>
          <w:p>
            <w:pPr>
              <w:snapToGrid w:val="0"/>
              <w:spacing w:line="360" w:lineRule="exact"/>
              <w:jc w:val="center"/>
              <w:rPr>
                <w:rFonts w:ascii="Arial" w:hAnsi="Arial" w:cs="Arial"/>
                <w:color w:val="auto"/>
                <w:szCs w:val="21"/>
                <w:highlight w:val="none"/>
              </w:rPr>
            </w:pPr>
          </w:p>
        </w:tc>
        <w:tc>
          <w:tcPr>
            <w:tcW w:w="1440" w:type="dxa"/>
            <w:vAlign w:val="center"/>
          </w:tcPr>
          <w:p>
            <w:pPr>
              <w:snapToGrid w:val="0"/>
              <w:spacing w:line="36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96" w:type="dxa"/>
            <w:vAlign w:val="center"/>
          </w:tcPr>
          <w:p>
            <w:pPr>
              <w:snapToGrid w:val="0"/>
              <w:spacing w:line="360" w:lineRule="exact"/>
              <w:jc w:val="center"/>
              <w:rPr>
                <w:rFonts w:ascii="Arial" w:hAnsi="Arial" w:cs="Arial"/>
                <w:color w:val="auto"/>
                <w:szCs w:val="21"/>
                <w:highlight w:val="none"/>
              </w:rPr>
            </w:pPr>
            <w:r>
              <w:rPr>
                <w:rFonts w:ascii="Arial" w:hAnsi="Arial" w:cs="Arial"/>
                <w:color w:val="auto"/>
                <w:szCs w:val="21"/>
                <w:highlight w:val="none"/>
              </w:rPr>
              <w:t>3</w:t>
            </w:r>
          </w:p>
        </w:tc>
        <w:tc>
          <w:tcPr>
            <w:tcW w:w="1304" w:type="dxa"/>
            <w:vAlign w:val="center"/>
          </w:tcPr>
          <w:p>
            <w:pPr>
              <w:snapToGrid w:val="0"/>
              <w:spacing w:line="360" w:lineRule="exact"/>
              <w:jc w:val="center"/>
              <w:rPr>
                <w:rFonts w:ascii="Arial" w:hAnsi="Arial" w:cs="Arial"/>
                <w:color w:val="auto"/>
                <w:szCs w:val="21"/>
                <w:highlight w:val="none"/>
              </w:rPr>
            </w:pPr>
          </w:p>
        </w:tc>
        <w:tc>
          <w:tcPr>
            <w:tcW w:w="1081" w:type="dxa"/>
            <w:vAlign w:val="center"/>
          </w:tcPr>
          <w:p>
            <w:pPr>
              <w:snapToGrid w:val="0"/>
              <w:spacing w:line="360" w:lineRule="exact"/>
              <w:jc w:val="center"/>
              <w:rPr>
                <w:rFonts w:ascii="Arial" w:hAnsi="Arial" w:cs="Arial"/>
                <w:color w:val="auto"/>
                <w:szCs w:val="21"/>
                <w:highlight w:val="none"/>
              </w:rPr>
            </w:pPr>
          </w:p>
        </w:tc>
        <w:tc>
          <w:tcPr>
            <w:tcW w:w="1194" w:type="dxa"/>
            <w:vAlign w:val="center"/>
          </w:tcPr>
          <w:p>
            <w:pPr>
              <w:snapToGrid w:val="0"/>
              <w:spacing w:line="360" w:lineRule="exact"/>
              <w:jc w:val="center"/>
              <w:rPr>
                <w:rFonts w:ascii="Arial" w:hAnsi="Arial" w:cs="Arial"/>
                <w:color w:val="auto"/>
                <w:szCs w:val="21"/>
                <w:highlight w:val="none"/>
              </w:rPr>
            </w:pPr>
          </w:p>
        </w:tc>
        <w:tc>
          <w:tcPr>
            <w:tcW w:w="1193" w:type="dxa"/>
          </w:tcPr>
          <w:p>
            <w:pPr>
              <w:snapToGrid w:val="0"/>
              <w:spacing w:line="360" w:lineRule="exact"/>
              <w:jc w:val="center"/>
              <w:rPr>
                <w:rFonts w:ascii="Arial" w:hAnsi="Arial" w:cs="Arial"/>
                <w:color w:val="auto"/>
                <w:szCs w:val="21"/>
                <w:highlight w:val="none"/>
              </w:rPr>
            </w:pPr>
          </w:p>
        </w:tc>
        <w:tc>
          <w:tcPr>
            <w:tcW w:w="672" w:type="dxa"/>
          </w:tcPr>
          <w:p>
            <w:pPr>
              <w:snapToGrid w:val="0"/>
              <w:spacing w:line="360" w:lineRule="exact"/>
              <w:jc w:val="center"/>
              <w:rPr>
                <w:rFonts w:ascii="Arial" w:hAnsi="Arial" w:cs="Arial"/>
                <w:color w:val="auto"/>
                <w:szCs w:val="21"/>
                <w:highlight w:val="none"/>
              </w:rPr>
            </w:pPr>
          </w:p>
        </w:tc>
        <w:tc>
          <w:tcPr>
            <w:tcW w:w="1080" w:type="dxa"/>
          </w:tcPr>
          <w:p>
            <w:pPr>
              <w:snapToGrid w:val="0"/>
              <w:spacing w:line="360" w:lineRule="exact"/>
              <w:jc w:val="center"/>
              <w:rPr>
                <w:rFonts w:ascii="Arial" w:hAnsi="Arial" w:cs="Arial"/>
                <w:color w:val="auto"/>
                <w:szCs w:val="21"/>
                <w:highlight w:val="none"/>
              </w:rPr>
            </w:pPr>
          </w:p>
        </w:tc>
        <w:tc>
          <w:tcPr>
            <w:tcW w:w="1080" w:type="dxa"/>
            <w:vAlign w:val="center"/>
          </w:tcPr>
          <w:p>
            <w:pPr>
              <w:snapToGrid w:val="0"/>
              <w:spacing w:line="360" w:lineRule="exact"/>
              <w:jc w:val="center"/>
              <w:rPr>
                <w:rFonts w:ascii="Arial" w:hAnsi="Arial" w:cs="Arial"/>
                <w:color w:val="auto"/>
                <w:szCs w:val="21"/>
                <w:highlight w:val="none"/>
              </w:rPr>
            </w:pPr>
          </w:p>
        </w:tc>
        <w:tc>
          <w:tcPr>
            <w:tcW w:w="1440" w:type="dxa"/>
            <w:vAlign w:val="center"/>
          </w:tcPr>
          <w:p>
            <w:pPr>
              <w:snapToGrid w:val="0"/>
              <w:spacing w:line="36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540" w:type="dxa"/>
            <w:gridSpan w:val="9"/>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 xml:space="preserve">人民币合计金额（大写）                          （小写）                 </w:t>
            </w:r>
          </w:p>
        </w:tc>
      </w:tr>
    </w:tbl>
    <w:p>
      <w:pPr>
        <w:pStyle w:val="23"/>
        <w:spacing w:line="420" w:lineRule="exact"/>
        <w:ind w:firstLine="420" w:firstLineChars="200"/>
        <w:rPr>
          <w:rFonts w:ascii="Arial" w:hAnsi="Arial" w:cs="Arial"/>
          <w:color w:val="auto"/>
          <w:highlight w:val="none"/>
        </w:rPr>
      </w:pPr>
      <w:r>
        <w:rPr>
          <w:rFonts w:ascii="Arial" w:hAnsi="Arial" w:cs="Arial"/>
          <w:color w:val="auto"/>
          <w:highlight w:val="none"/>
        </w:rPr>
        <w:t>2.合同合计金额包括产品价、运输费（含装卸费）、保险费、安装调试费、税费、培训费、产品检测费、产品质保期内维护等费用。如谈判文件对其另有规定的，从其规定。</w:t>
      </w:r>
    </w:p>
    <w:p>
      <w:pPr>
        <w:snapToGrid w:val="0"/>
        <w:spacing w:line="360" w:lineRule="exact"/>
        <w:ind w:firstLine="422" w:firstLineChars="200"/>
        <w:rPr>
          <w:rFonts w:ascii="Arial" w:hAnsi="Arial" w:cs="Arial"/>
          <w:color w:val="auto"/>
          <w:szCs w:val="21"/>
          <w:highlight w:val="none"/>
        </w:rPr>
      </w:pPr>
      <w:r>
        <w:rPr>
          <w:rFonts w:ascii="Arial" w:hAnsi="Arial" w:cs="Arial"/>
          <w:b/>
          <w:color w:val="auto"/>
          <w:szCs w:val="21"/>
          <w:highlight w:val="none"/>
        </w:rPr>
        <w:t>第二条　质量保证</w:t>
      </w:r>
    </w:p>
    <w:p>
      <w:pPr>
        <w:snapToGrid w:val="0"/>
        <w:spacing w:line="360" w:lineRule="exact"/>
        <w:ind w:firstLine="420" w:firstLineChars="200"/>
        <w:rPr>
          <w:rFonts w:ascii="Arial" w:hAnsi="Arial" w:cs="Arial"/>
          <w:color w:val="auto"/>
          <w:szCs w:val="21"/>
          <w:highlight w:val="none"/>
        </w:rPr>
      </w:pPr>
      <w:bookmarkStart w:id="28" w:name="_Hlk51062197"/>
      <w:r>
        <w:rPr>
          <w:rFonts w:ascii="Arial" w:hAnsi="Arial" w:cs="Arial"/>
          <w:color w:val="auto"/>
          <w:szCs w:val="21"/>
          <w:highlight w:val="none"/>
        </w:rPr>
        <w:t>1.乙方所提供的货物型号、技术规格、技术参数等质量必须与谈判文件要求、响应文件承诺相一致。乙方提供的节能和环保产品必须是列入采购品目清单的产品。</w:t>
      </w:r>
    </w:p>
    <w:bookmarkEnd w:id="28"/>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2.乙方所提供的货物必须是全新、未使用的原装产品，且在正常安装、使用和保养条件下，其使用寿命期内各项指标均达到质量要求。</w:t>
      </w:r>
    </w:p>
    <w:p>
      <w:pPr>
        <w:snapToGrid w:val="0"/>
        <w:spacing w:line="360" w:lineRule="exact"/>
        <w:ind w:firstLine="422" w:firstLineChars="200"/>
        <w:rPr>
          <w:rFonts w:ascii="Arial" w:hAnsi="Arial" w:cs="Arial"/>
          <w:color w:val="auto"/>
          <w:szCs w:val="21"/>
          <w:highlight w:val="none"/>
        </w:rPr>
      </w:pPr>
      <w:r>
        <w:rPr>
          <w:rFonts w:ascii="Arial" w:hAnsi="Arial" w:cs="Arial"/>
          <w:b/>
          <w:color w:val="auto"/>
          <w:szCs w:val="21"/>
          <w:highlight w:val="none"/>
        </w:rPr>
        <w:t>第三条  权利保证</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乙方应保证所提供货物在使用时不会侵犯任何第三方的专利权、商标权、工业设计权或其他权利。</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乙方应按谈判文件规定的时间向甲方提供使用货物的有关技术资料。</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乙方保证所交付的货物的所有权完全属于乙方且无任何抵押、质押、查封等产权瑕疵。</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第四条  包装和运输</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1.乙方提供的货物均应按谈判文件要求、响应文件承诺的包装材料、包装标准、包装方式进行包装，每一包装单元内应附详细的装箱单和质量合格证。</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2.货物的运输方式：</w:t>
      </w:r>
      <w:r>
        <w:rPr>
          <w:rFonts w:ascii="Arial" w:hAnsi="Arial" w:cs="Arial"/>
          <w:color w:val="auto"/>
          <w:szCs w:val="21"/>
          <w:highlight w:val="none"/>
          <w:u w:val="single"/>
        </w:rPr>
        <w:t>乙方自定。</w:t>
      </w:r>
    </w:p>
    <w:p>
      <w:pPr>
        <w:snapToGrid w:val="0"/>
        <w:spacing w:line="360" w:lineRule="exact"/>
        <w:ind w:firstLine="420" w:firstLineChars="200"/>
        <w:rPr>
          <w:rFonts w:ascii="Arial" w:hAnsi="Arial" w:cs="Arial"/>
          <w:color w:val="auto"/>
          <w:szCs w:val="21"/>
          <w:highlight w:val="none"/>
          <w:u w:val="single"/>
        </w:rPr>
      </w:pPr>
      <w:r>
        <w:rPr>
          <w:rFonts w:ascii="Arial" w:hAnsi="Arial" w:cs="Arial"/>
          <w:color w:val="auto"/>
          <w:szCs w:val="21"/>
          <w:highlight w:val="none"/>
        </w:rPr>
        <w:t>3.乙方负责货物运输，货物运输合理损耗及计算方法：</w:t>
      </w:r>
      <w:r>
        <w:rPr>
          <w:rFonts w:ascii="Arial" w:hAnsi="Arial" w:cs="Arial"/>
          <w:color w:val="auto"/>
          <w:szCs w:val="21"/>
          <w:highlight w:val="none"/>
          <w:u w:val="single"/>
        </w:rPr>
        <w:t xml:space="preserve">  由乙方负责 。</w:t>
      </w:r>
    </w:p>
    <w:p>
      <w:pPr>
        <w:snapToGrid w:val="0"/>
        <w:spacing w:line="360" w:lineRule="exact"/>
        <w:ind w:firstLine="422" w:firstLineChars="200"/>
        <w:rPr>
          <w:rFonts w:ascii="Arial" w:hAnsi="Arial" w:cs="Arial"/>
          <w:color w:val="auto"/>
          <w:szCs w:val="21"/>
          <w:highlight w:val="none"/>
        </w:rPr>
      </w:pPr>
      <w:r>
        <w:rPr>
          <w:rFonts w:ascii="Arial" w:hAnsi="Arial" w:cs="Arial"/>
          <w:b/>
          <w:color w:val="auto"/>
          <w:szCs w:val="21"/>
          <w:highlight w:val="none"/>
        </w:rPr>
        <w:t>第五条  交付和验收</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交货期</w:t>
      </w:r>
      <w:r>
        <w:rPr>
          <w:rFonts w:ascii="Arial" w:hAnsi="Arial" w:cs="Arial"/>
          <w:color w:val="auto"/>
          <w:szCs w:val="21"/>
          <w:highlight w:val="none"/>
        </w:rPr>
        <w:t>：</w:t>
      </w:r>
      <w:r>
        <w:rPr>
          <w:rFonts w:hint="eastAsia" w:ascii="Arial" w:hAnsi="Arial" w:cs="Arial"/>
          <w:color w:val="auto"/>
          <w:szCs w:val="21"/>
          <w:highlight w:val="none"/>
          <w:u w:val="single"/>
          <w:lang w:eastAsia="zh-CN"/>
        </w:rPr>
        <w:t>自签订合同之日起90个工作日内全部货物交货完毕并完成安装调试</w:t>
      </w:r>
      <w:r>
        <w:rPr>
          <w:rFonts w:ascii="Arial" w:hAnsi="Arial" w:cs="Arial"/>
          <w:color w:val="auto"/>
          <w:szCs w:val="21"/>
          <w:highlight w:val="none"/>
        </w:rPr>
        <w:t>；</w:t>
      </w:r>
    </w:p>
    <w:p>
      <w:pPr>
        <w:snapToGrid w:val="0"/>
        <w:spacing w:line="360" w:lineRule="exact"/>
        <w:ind w:firstLine="630" w:firstLineChars="300"/>
        <w:rPr>
          <w:rFonts w:ascii="Arial" w:hAnsi="Arial" w:cs="Arial"/>
          <w:color w:val="auto"/>
          <w:szCs w:val="21"/>
          <w:highlight w:val="none"/>
          <w:u w:val="single"/>
        </w:rPr>
      </w:pPr>
      <w:r>
        <w:rPr>
          <w:rFonts w:ascii="Arial" w:hAnsi="Arial" w:cs="Arial"/>
          <w:color w:val="auto"/>
          <w:szCs w:val="21"/>
          <w:highlight w:val="none"/>
        </w:rPr>
        <w:t>地点：</w:t>
      </w:r>
      <w:r>
        <w:rPr>
          <w:rFonts w:hint="eastAsia" w:ascii="Arial" w:hAnsi="Arial" w:cs="Arial"/>
          <w:color w:val="auto"/>
          <w:szCs w:val="21"/>
          <w:highlight w:val="none"/>
          <w:u w:val="single"/>
        </w:rPr>
        <w:t>百色市采购人指定地点</w:t>
      </w:r>
      <w:r>
        <w:rPr>
          <w:rFonts w:ascii="Arial" w:hAnsi="Arial" w:cs="Arial"/>
          <w:color w:val="auto"/>
          <w:szCs w:val="21"/>
          <w:highlight w:val="none"/>
          <w:u w:val="single"/>
        </w:rPr>
        <w:t>。</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2.乙方提供不符合谈判文件和本合同规定的货物，甲方有权拒绝接受。</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3.乙方应将所提供货物的装箱清单、用户手册、原厂保修卡、随机资料、工具和备品、备件等交付给甲方，如有缺失应及时补齐，否则视为逾期交货。</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4.甲方应当在到货并安装、调试完后七个工作日内进行验收，逾期不验收的，乙方可视同验收合格。验收合格后由甲乙双方签署货物验收单并加盖采购人公章，甲乙双方各执一份。</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5.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6.甲方对验收有异议的，在验收后五个工作日内以书面形式向乙方提出，乙方应自收到甲方书面异议后</w:t>
      </w:r>
      <w:r>
        <w:rPr>
          <w:rFonts w:ascii="Arial" w:hAnsi="Arial" w:cs="Arial"/>
          <w:color w:val="auto"/>
          <w:szCs w:val="21"/>
          <w:highlight w:val="none"/>
          <w:u w:val="single"/>
        </w:rPr>
        <w:t xml:space="preserve"> 7 </w:t>
      </w:r>
      <w:r>
        <w:rPr>
          <w:rFonts w:ascii="Arial" w:hAnsi="Arial" w:cs="Arial"/>
          <w:color w:val="auto"/>
          <w:szCs w:val="21"/>
          <w:highlight w:val="none"/>
        </w:rPr>
        <w:t>日内及时予以解决。</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第六条  安装和培训</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1.甲方应提供必要安装条件（如场地、电源、水源等）。</w:t>
      </w:r>
    </w:p>
    <w:p>
      <w:pPr>
        <w:snapToGrid w:val="0"/>
        <w:spacing w:line="360" w:lineRule="exact"/>
        <w:ind w:firstLine="420" w:firstLineChars="200"/>
        <w:rPr>
          <w:rFonts w:ascii="Arial" w:hAnsi="Arial" w:cs="Arial"/>
          <w:color w:val="auto"/>
          <w:szCs w:val="21"/>
          <w:highlight w:val="none"/>
          <w:u w:val="single"/>
        </w:rPr>
      </w:pPr>
      <w:r>
        <w:rPr>
          <w:rFonts w:ascii="Arial" w:hAnsi="Arial" w:cs="Arial"/>
          <w:color w:val="auto"/>
          <w:szCs w:val="21"/>
          <w:highlight w:val="none"/>
        </w:rPr>
        <w:t>2.乙方负责甲方有关人员的培训。培训时间、地点：</w:t>
      </w:r>
      <w:r>
        <w:rPr>
          <w:rFonts w:ascii="Arial" w:hAnsi="Arial" w:cs="Arial"/>
          <w:color w:val="auto"/>
          <w:szCs w:val="21"/>
          <w:highlight w:val="none"/>
          <w:u w:val="single"/>
        </w:rPr>
        <w:t xml:space="preserve"> 由甲方决定。</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第七条  售后服务、质保期</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1.乙方应按照国家有关法律法规和“三包”规定以及招响应文件和本合同附件，为甲方提供售后服务。</w:t>
      </w:r>
    </w:p>
    <w:p>
      <w:pPr>
        <w:snapToGrid w:val="0"/>
        <w:spacing w:line="360" w:lineRule="exact"/>
        <w:ind w:firstLine="420" w:firstLineChars="200"/>
        <w:rPr>
          <w:rFonts w:ascii="Arial" w:hAnsi="Arial" w:cs="Arial"/>
          <w:color w:val="auto"/>
          <w:szCs w:val="21"/>
          <w:highlight w:val="none"/>
          <w:u w:val="single"/>
        </w:rPr>
      </w:pPr>
      <w:r>
        <w:rPr>
          <w:rFonts w:ascii="Arial" w:hAnsi="Arial" w:cs="Arial"/>
          <w:color w:val="auto"/>
          <w:szCs w:val="21"/>
          <w:highlight w:val="none"/>
        </w:rPr>
        <w:t>2.货物质保期：</w:t>
      </w:r>
      <w:r>
        <w:rPr>
          <w:rFonts w:ascii="Arial" w:hAnsi="Arial" w:cs="Arial"/>
          <w:b/>
          <w:color w:val="auto"/>
          <w:szCs w:val="21"/>
          <w:highlight w:val="none"/>
          <w:u w:val="single"/>
        </w:rPr>
        <w:t>按乙方承诺，但是不得低于国家相关标准</w:t>
      </w:r>
      <w:r>
        <w:rPr>
          <w:rFonts w:ascii="Arial" w:hAnsi="Arial" w:cs="Arial"/>
          <w:color w:val="auto"/>
          <w:szCs w:val="21"/>
          <w:highlight w:val="none"/>
        </w:rPr>
        <w:t>。</w:t>
      </w:r>
    </w:p>
    <w:p>
      <w:pPr>
        <w:snapToGrid w:val="0"/>
        <w:spacing w:line="360" w:lineRule="exact"/>
        <w:ind w:firstLine="420" w:firstLineChars="200"/>
        <w:rPr>
          <w:rFonts w:ascii="Arial" w:hAnsi="Arial" w:cs="Arial"/>
          <w:color w:val="auto"/>
          <w:szCs w:val="21"/>
          <w:highlight w:val="none"/>
          <w:u w:val="single"/>
        </w:rPr>
      </w:pPr>
      <w:r>
        <w:rPr>
          <w:rFonts w:ascii="Arial" w:hAnsi="Arial" w:cs="Arial"/>
          <w:color w:val="auto"/>
          <w:szCs w:val="21"/>
          <w:highlight w:val="none"/>
        </w:rPr>
        <w:t>3.乙方提供的服务承诺和售后服务及质保期责任等其它具体约定事项。（见合同附件）</w:t>
      </w:r>
    </w:p>
    <w:p>
      <w:pPr>
        <w:snapToGrid w:val="0"/>
        <w:spacing w:line="360" w:lineRule="exact"/>
        <w:ind w:firstLine="422" w:firstLineChars="200"/>
        <w:rPr>
          <w:rFonts w:ascii="Arial" w:hAnsi="Arial" w:cs="Arial"/>
          <w:color w:val="auto"/>
          <w:szCs w:val="21"/>
          <w:highlight w:val="none"/>
        </w:rPr>
      </w:pPr>
      <w:r>
        <w:rPr>
          <w:rFonts w:ascii="Arial" w:hAnsi="Arial" w:cs="Arial"/>
          <w:b/>
          <w:color w:val="auto"/>
          <w:szCs w:val="21"/>
          <w:highlight w:val="none"/>
        </w:rPr>
        <w:t>第八条　付款方式</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付款方式：</w:t>
      </w:r>
      <w:r>
        <w:rPr>
          <w:rFonts w:hint="eastAsia" w:ascii="Arial" w:hAnsi="Arial" w:cs="Arial"/>
          <w:color w:val="auto"/>
          <w:szCs w:val="21"/>
          <w:highlight w:val="none"/>
        </w:rPr>
        <w:t>1.合同签订5个工作日内，供应商以银行转账、汇款方式向采购人支付100%合同款作为预付款担保金。采购人收到预付款担保金后在10个工作日内向供应商支付100%合同款作为预付款。</w:t>
      </w:r>
    </w:p>
    <w:p>
      <w:pPr>
        <w:snapToGrid w:val="0"/>
        <w:spacing w:line="360" w:lineRule="exact"/>
        <w:ind w:firstLine="420" w:firstLineChars="200"/>
        <w:rPr>
          <w:rFonts w:ascii="Arial" w:hAnsi="Arial" w:cs="Arial"/>
          <w:color w:val="auto"/>
          <w:szCs w:val="21"/>
          <w:highlight w:val="none"/>
        </w:rPr>
      </w:pPr>
      <w:r>
        <w:rPr>
          <w:rFonts w:hint="eastAsia" w:ascii="Arial" w:hAnsi="Arial" w:cs="Arial"/>
          <w:color w:val="auto"/>
          <w:szCs w:val="21"/>
          <w:highlight w:val="none"/>
        </w:rPr>
        <w:t>2.供应商按采购合同交货并验收合格后十个工作日内，采购人凭供应商提交的退回预付款担保金申请书、全额财务发票（100%合同款发票）、验收单，向供应商退返预付款担保金。</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 xml:space="preserve">第九条 质量保证金   </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质量保证金：</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w:t>
      </w:r>
      <w:r>
        <w:rPr>
          <w:rFonts w:ascii="Arial" w:hAnsi="Arial" w:cs="Arial"/>
          <w:color w:val="auto"/>
          <w:szCs w:val="21"/>
          <w:highlight w:val="none"/>
          <w:u w:val="single"/>
        </w:rPr>
        <w:t xml:space="preserve">            </w:t>
      </w:r>
      <w:r>
        <w:rPr>
          <w:rFonts w:ascii="Arial" w:hAnsi="Arial" w:cs="Arial"/>
          <w:color w:val="auto"/>
          <w:szCs w:val="21"/>
          <w:highlight w:val="none"/>
        </w:rPr>
        <w:t>。</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第十条 税费</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本合同执行中相关的一切税费均由乙方负担。</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第十一条 质量保证及售后服务</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 乙方应按谈判文件规定的货物性能、技术要求、质量标准向甲方提供未经使用的全新产品。乙方提供货物的质量保证期按交货验收合格之日起计（期限见“项目采购需求”中各分标的要求）。在保证期内因货物本身的质量问题发生故障，乙方应负责免费修理和更换零部件。对达不到技术要求者，根据实际情况，经双方协商，可按以下办法处理：</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（1）更换：由乙方承担所发生的全部费用。</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（2）贬值处理：由甲乙双方合议定价。</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（3）退货处理：乙方应退还甲方支付的合同款，同时应承担该货物的直接费用（运输、保险、检验、货款利息及银行手续费等）。</w:t>
      </w:r>
    </w:p>
    <w:p>
      <w:pPr>
        <w:pStyle w:val="23"/>
        <w:snapToGrid w:val="0"/>
        <w:spacing w:before="120" w:after="120" w:line="360" w:lineRule="exact"/>
        <w:ind w:firstLine="420" w:firstLineChars="200"/>
        <w:rPr>
          <w:rFonts w:ascii="Arial" w:hAnsi="Arial" w:cs="Arial"/>
          <w:color w:val="auto"/>
          <w:highlight w:val="none"/>
        </w:rPr>
      </w:pPr>
      <w:r>
        <w:rPr>
          <w:rFonts w:ascii="Arial" w:hAnsi="Arial" w:cs="Arial"/>
          <w:color w:val="auto"/>
          <w:highlight w:val="none"/>
        </w:rPr>
        <w:t>2. 如在使用过程中发生质量问题，乙方在接到甲方通知后在</w:t>
      </w:r>
      <w:r>
        <w:rPr>
          <w:rFonts w:ascii="Arial" w:hAnsi="Arial" w:cs="Arial"/>
          <w:color w:val="auto"/>
          <w:highlight w:val="none"/>
          <w:u w:val="single"/>
        </w:rPr>
        <w:t xml:space="preserve">    </w:t>
      </w:r>
      <w:r>
        <w:rPr>
          <w:rFonts w:ascii="Arial" w:hAnsi="Arial" w:cs="Arial"/>
          <w:color w:val="auto"/>
          <w:highlight w:val="none"/>
        </w:rPr>
        <w:t>小时内到达甲方现场。</w:t>
      </w:r>
    </w:p>
    <w:p>
      <w:pPr>
        <w:pStyle w:val="23"/>
        <w:snapToGrid w:val="0"/>
        <w:spacing w:before="120" w:after="120" w:line="360" w:lineRule="exact"/>
        <w:ind w:firstLine="420" w:firstLineChars="200"/>
        <w:rPr>
          <w:rFonts w:ascii="Arial" w:hAnsi="Arial" w:cs="Arial"/>
          <w:color w:val="auto"/>
          <w:highlight w:val="none"/>
        </w:rPr>
      </w:pPr>
      <w:r>
        <w:rPr>
          <w:rFonts w:ascii="Arial" w:hAnsi="Arial" w:cs="Arial"/>
          <w:color w:val="auto"/>
          <w:highlight w:val="none"/>
        </w:rPr>
        <w:t>3. 在质保期内，乙方应对货物出现的质量及安全问题负责处理解决并承担一切费用。</w:t>
      </w:r>
    </w:p>
    <w:p>
      <w:pPr>
        <w:pStyle w:val="23"/>
        <w:snapToGrid w:val="0"/>
        <w:spacing w:before="120" w:after="120" w:line="360" w:lineRule="exact"/>
        <w:ind w:firstLine="420" w:firstLineChars="200"/>
        <w:rPr>
          <w:rFonts w:ascii="Arial" w:hAnsi="Arial" w:cs="Arial"/>
          <w:color w:val="auto"/>
          <w:highlight w:val="none"/>
        </w:rPr>
      </w:pPr>
      <w:r>
        <w:rPr>
          <w:rFonts w:ascii="Arial" w:hAnsi="Arial" w:cs="Arial"/>
          <w:color w:val="auto"/>
          <w:highlight w:val="none"/>
        </w:rPr>
        <w:t>4.上述的货物因人为因素出现的故障不在免费保修范围内。超过质保期的机器设备，终生维修，维修时只收部件成本费。</w:t>
      </w:r>
    </w:p>
    <w:p>
      <w:pPr>
        <w:pStyle w:val="23"/>
        <w:snapToGrid w:val="0"/>
        <w:spacing w:before="120" w:after="120" w:line="360" w:lineRule="exact"/>
        <w:ind w:firstLine="422" w:firstLineChars="200"/>
        <w:rPr>
          <w:rFonts w:ascii="Arial" w:hAnsi="Arial" w:cs="Arial"/>
          <w:color w:val="auto"/>
          <w:highlight w:val="none"/>
        </w:rPr>
      </w:pPr>
      <w:r>
        <w:rPr>
          <w:rFonts w:ascii="Arial" w:hAnsi="Arial" w:cs="Arial"/>
          <w:b/>
          <w:color w:val="auto"/>
          <w:highlight w:val="none"/>
        </w:rPr>
        <w:t>第十二条 货物包装、发运及运输</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1. 乙方应在货物发运前对其进行满足运输距离、防潮、防震、防锈和防破损装卸等要求包装，以保证货物安全运达甲方指定地点。</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2. 使用说明书、质量检验证明书、随配附件和工具以及清单一并附于货物内。</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3. 乙方在货物发运手续办理完毕后二十四小时内或货到甲方四十八小时前通知甲方，以准备接货。</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4. 货物在交付甲方前发生的风险均由乙方负责。</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5. 货物在规定的交付期限内由乙方送达甲方指定的地点并初步验收合格后视为交付，乙方同时需通知甲方货物已送达。</w:t>
      </w:r>
    </w:p>
    <w:p>
      <w:pPr>
        <w:pStyle w:val="23"/>
        <w:snapToGrid w:val="0"/>
        <w:spacing w:before="120" w:after="120" w:line="360" w:lineRule="exact"/>
        <w:ind w:firstLine="413" w:firstLineChars="196"/>
        <w:rPr>
          <w:rFonts w:ascii="Arial" w:hAnsi="Arial" w:cs="Arial"/>
          <w:b/>
          <w:color w:val="auto"/>
          <w:highlight w:val="none"/>
        </w:rPr>
      </w:pPr>
      <w:bookmarkStart w:id="29" w:name="_Toc217446110"/>
      <w:r>
        <w:rPr>
          <w:rFonts w:ascii="Arial" w:hAnsi="Arial" w:cs="Arial"/>
          <w:b/>
          <w:color w:val="auto"/>
          <w:highlight w:val="none"/>
        </w:rPr>
        <w:t>第十三条 交货及验收</w:t>
      </w:r>
      <w:bookmarkEnd w:id="29"/>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1. 甲方对乙方提交的货物依据谈判文件上的技术规格要求和国家有关质量标准进行现场初步验收，外观、说明书符合谈判文件技术要求的，给予签收，初步验收不合格的不予签收。货到后，</w:t>
      </w:r>
      <w:r>
        <w:rPr>
          <w:rFonts w:ascii="Arial" w:hAnsi="Arial" w:cs="Arial"/>
          <w:bCs/>
          <w:color w:val="auto"/>
          <w:highlight w:val="none"/>
        </w:rPr>
        <w:t>甲方应当在到货并安装、调试完后七个工作日内进行验收</w:t>
      </w:r>
      <w:r>
        <w:rPr>
          <w:rFonts w:ascii="Arial" w:hAnsi="Arial" w:cs="Arial"/>
          <w:color w:val="auto"/>
          <w:highlight w:val="none"/>
        </w:rPr>
        <w:t>。</w:t>
      </w:r>
    </w:p>
    <w:p>
      <w:pPr>
        <w:pStyle w:val="23"/>
        <w:snapToGrid w:val="0"/>
        <w:spacing w:before="120" w:after="120" w:line="360" w:lineRule="exact"/>
        <w:ind w:firstLine="420" w:firstLineChars="200"/>
        <w:rPr>
          <w:rFonts w:ascii="Arial" w:hAnsi="Arial" w:cs="Arial"/>
          <w:color w:val="auto"/>
          <w:highlight w:val="none"/>
        </w:rPr>
      </w:pPr>
      <w:r>
        <w:rPr>
          <w:rFonts w:ascii="Arial" w:hAnsi="Arial" w:cs="Arial"/>
          <w:color w:val="auto"/>
          <w:highlight w:val="none"/>
        </w:rPr>
        <w:t>2. 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pPr>
        <w:pStyle w:val="23"/>
        <w:snapToGrid w:val="0"/>
        <w:spacing w:before="120" w:after="120" w:line="360" w:lineRule="exact"/>
        <w:ind w:firstLine="420" w:firstLineChars="200"/>
        <w:rPr>
          <w:rFonts w:ascii="Arial" w:hAnsi="Arial" w:cs="Arial"/>
          <w:color w:val="auto"/>
          <w:highlight w:val="none"/>
          <w:u w:val="single"/>
        </w:rPr>
      </w:pPr>
      <w:r>
        <w:rPr>
          <w:rFonts w:ascii="Arial" w:hAnsi="Arial" w:cs="Arial"/>
          <w:color w:val="auto"/>
          <w:highlight w:val="none"/>
        </w:rPr>
        <w:t>3. 甲方对乙方提供的货物在使用前进行调试时，乙方需负责安装并培训甲方的使用操作人员，并协助甲方一起调试，直到符合技术要求，甲方才做最终验收。</w:t>
      </w:r>
    </w:p>
    <w:p>
      <w:pPr>
        <w:pStyle w:val="23"/>
        <w:snapToGrid w:val="0"/>
        <w:spacing w:before="120" w:after="120" w:line="360" w:lineRule="exact"/>
        <w:ind w:firstLine="420" w:firstLineChars="200"/>
        <w:rPr>
          <w:rFonts w:ascii="Arial" w:hAnsi="Arial" w:cs="Arial"/>
          <w:color w:val="auto"/>
          <w:highlight w:val="none"/>
        </w:rPr>
      </w:pPr>
      <w:r>
        <w:rPr>
          <w:rFonts w:ascii="Arial" w:hAnsi="Arial" w:cs="Arial"/>
          <w:color w:val="auto"/>
          <w:highlight w:val="none"/>
        </w:rPr>
        <w:t>4. 验收由甲方组织，乙方配合进行。对技术复杂的货物，甲方应请国家认定的专业检测机构参与初步验收及最终验收，并由其出具质量检测报告。</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（1） 货物在乙方通知安装调试完毕后</w:t>
      </w:r>
      <w:r>
        <w:rPr>
          <w:rFonts w:ascii="Arial" w:hAnsi="Arial" w:cs="Arial"/>
          <w:bCs/>
          <w:color w:val="auto"/>
          <w:highlight w:val="none"/>
          <w:u w:val="single"/>
        </w:rPr>
        <w:t>七个工作日</w:t>
      </w:r>
      <w:r>
        <w:rPr>
          <w:rFonts w:ascii="Arial" w:hAnsi="Arial" w:cs="Arial"/>
          <w:color w:val="auto"/>
          <w:highlight w:val="none"/>
        </w:rPr>
        <w:t>内初步验收。初步验收合格后，进入</w:t>
      </w:r>
      <w:r>
        <w:rPr>
          <w:rFonts w:ascii="Arial" w:hAnsi="Arial" w:cs="Arial"/>
          <w:color w:val="auto"/>
          <w:highlight w:val="none"/>
          <w:u w:val="single"/>
        </w:rPr>
        <w:t xml:space="preserve">    </w:t>
      </w:r>
      <w:r>
        <w:rPr>
          <w:rFonts w:ascii="Arial" w:hAnsi="Arial" w:cs="Arial"/>
          <w:color w:val="auto"/>
          <w:highlight w:val="none"/>
        </w:rPr>
        <w:t>试用期；试用期间发生重大质量问题，修复后试用相应顺延；试用期结束后</w:t>
      </w:r>
      <w:r>
        <w:rPr>
          <w:rFonts w:ascii="Arial" w:hAnsi="Arial" w:cs="Arial"/>
          <w:color w:val="auto"/>
          <w:highlight w:val="none"/>
          <w:u w:val="single"/>
        </w:rPr>
        <w:t xml:space="preserve">    </w:t>
      </w:r>
      <w:r>
        <w:rPr>
          <w:rFonts w:ascii="Arial" w:hAnsi="Arial" w:cs="Arial"/>
          <w:color w:val="auto"/>
          <w:highlight w:val="none"/>
        </w:rPr>
        <w:t>日内完成最终验收；</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2）验收标准：按国家有关规定以及甲方谈判文件的质量要求和技术指标、乙方的响应文件及承诺与本合同约定标准进行验收；甲乙双方如对质量要求和技术指标的约定标准有相互抵触或异议的事项，由甲方在谈判文件与响应文件中按质量要求和技术指标比较优胜的原则确定该项的约定标准进行验收；</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（4）如货物经乙方</w:t>
      </w:r>
      <w:r>
        <w:rPr>
          <w:rFonts w:ascii="Arial" w:hAnsi="Arial" w:cs="Arial"/>
          <w:color w:val="auto"/>
          <w:highlight w:val="none"/>
          <w:u w:val="single"/>
        </w:rPr>
        <w:t xml:space="preserve">   </w:t>
      </w:r>
      <w:r>
        <w:rPr>
          <w:rFonts w:ascii="Arial" w:hAnsi="Arial" w:cs="Arial"/>
          <w:color w:val="auto"/>
          <w:highlight w:val="none"/>
        </w:rPr>
        <w:t>次维修仍不能达到合同约定的质量标准，甲方有权退货，并视作乙方不能交付货物而须支付违约赔偿金给甲方，甲方还可依法追究乙方的违约责任。 </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（5） 验收结束后，应当出具验收书，列明各项标准的验收情况及项目总体评价，由验收双方共同签署。</w:t>
      </w:r>
    </w:p>
    <w:p>
      <w:pPr>
        <w:pStyle w:val="23"/>
        <w:snapToGrid w:val="0"/>
        <w:spacing w:before="120" w:after="120" w:line="300" w:lineRule="exact"/>
        <w:ind w:firstLine="420" w:firstLineChars="200"/>
        <w:rPr>
          <w:rFonts w:ascii="Arial" w:hAnsi="Arial" w:cs="Arial"/>
          <w:color w:val="auto"/>
          <w:highlight w:val="none"/>
        </w:rPr>
      </w:pPr>
      <w:r>
        <w:rPr>
          <w:rFonts w:ascii="Arial" w:hAnsi="Arial" w:cs="Arial"/>
          <w:color w:val="auto"/>
          <w:highlight w:val="none"/>
        </w:rPr>
        <w:t>5.货物安装完成后</w:t>
      </w:r>
      <w:r>
        <w:rPr>
          <w:rFonts w:ascii="Arial" w:hAnsi="Arial" w:cs="Arial"/>
          <w:bCs/>
          <w:color w:val="auto"/>
          <w:highlight w:val="none"/>
          <w:u w:val="single"/>
        </w:rPr>
        <w:t>七个工作日</w:t>
      </w:r>
      <w:r>
        <w:rPr>
          <w:rFonts w:ascii="Arial" w:hAnsi="Arial" w:cs="Arial"/>
          <w:color w:val="auto"/>
          <w:highlight w:val="none"/>
        </w:rPr>
        <w:t>内，甲方无故不进行验收工作并已使用货物的，视同已安装调试完成并验收合格。验收合格的项目，甲方在验收书签署之日后</w:t>
      </w:r>
      <w:r>
        <w:rPr>
          <w:rFonts w:ascii="Arial" w:hAnsi="Arial" w:cs="Arial"/>
          <w:color w:val="auto"/>
          <w:highlight w:val="none"/>
          <w:u w:val="single"/>
        </w:rPr>
        <w:t xml:space="preserve">    </w:t>
      </w:r>
      <w:r>
        <w:rPr>
          <w:rFonts w:ascii="Arial" w:hAnsi="Arial" w:cs="Arial"/>
          <w:color w:val="auto"/>
          <w:highlight w:val="none"/>
        </w:rPr>
        <w:t>日内向乙方支付采购资金。验收不合格的项目，将按本合同第十四条违约责任处理，未作约定的，按照</w:t>
      </w:r>
      <w:r>
        <w:rPr>
          <w:rFonts w:hint="eastAsia" w:ascii="Arial" w:hAnsi="Arial" w:cs="Arial"/>
          <w:color w:val="auto"/>
          <w:highlight w:val="none"/>
        </w:rPr>
        <w:t>《中华人民共和国民法典》</w:t>
      </w:r>
      <w:r>
        <w:rPr>
          <w:rFonts w:ascii="Arial" w:hAnsi="Arial" w:cs="Arial"/>
          <w:color w:val="auto"/>
          <w:highlight w:val="none"/>
        </w:rPr>
        <w:t xml:space="preserve">规定处理。    </w:t>
      </w:r>
    </w:p>
    <w:p>
      <w:pPr>
        <w:pStyle w:val="23"/>
        <w:snapToGrid w:val="0"/>
        <w:spacing w:before="120" w:after="120" w:line="360" w:lineRule="exact"/>
        <w:ind w:firstLine="420" w:firstLineChars="200"/>
        <w:jc w:val="left"/>
        <w:rPr>
          <w:rFonts w:ascii="Arial" w:hAnsi="Arial" w:cs="Arial"/>
          <w:color w:val="auto"/>
          <w:highlight w:val="none"/>
        </w:rPr>
      </w:pPr>
      <w:r>
        <w:rPr>
          <w:rFonts w:ascii="Arial" w:hAnsi="Arial" w:cs="Arial"/>
          <w:color w:val="auto"/>
          <w:highlight w:val="none"/>
        </w:rPr>
        <w:t>6. 验收时乙方必须在现场，验收完毕后作出验收结果报告（验收书）；验收费用由乙方负责。费用标准参照国家或自治区有关规定执行。</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第十四条　违约责任</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1.乙方所提供的货物规格、技术标准、材料等质量不合格的，应及时更换，更换不及时的按逾期交货处罚；因质量问题甲方不同意接收的或特殊情况甲方同意接收的，乙方应向甲方支付违约货款额 5%违约金并赔偿甲方经济损失。                                       </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2.乙方提供的货物如侵犯了第三方合法权益而引发的任何纠纷或诉讼，均由乙方负责交涉并承担全部责任。</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3.因包装、运输引起的货物损坏，按质量不合格处罚。</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4.甲方无故延期接收货物、乙方逾期交货的，每天向对方偿付违约货款额3‰违约金，但违约金累计不得超过违约货款额</w:t>
      </w:r>
      <w:r>
        <w:rPr>
          <w:rFonts w:ascii="Arial" w:hAnsi="Arial" w:cs="Arial"/>
          <w:color w:val="auto"/>
          <w:szCs w:val="21"/>
          <w:highlight w:val="none"/>
          <w:u w:val="single"/>
        </w:rPr>
        <w:t>5%</w:t>
      </w:r>
      <w:r>
        <w:rPr>
          <w:rFonts w:ascii="Arial" w:hAnsi="Arial" w:cs="Arial"/>
          <w:color w:val="auto"/>
          <w:szCs w:val="21"/>
          <w:highlight w:val="none"/>
        </w:rPr>
        <w:t>，超过</w:t>
      </w:r>
      <w:r>
        <w:rPr>
          <w:rFonts w:ascii="Arial" w:hAnsi="Arial" w:cs="Arial"/>
          <w:color w:val="auto"/>
          <w:szCs w:val="21"/>
          <w:highlight w:val="none"/>
          <w:u w:val="single"/>
        </w:rPr>
        <w:t xml:space="preserve"> 30 </w:t>
      </w:r>
      <w:r>
        <w:rPr>
          <w:rFonts w:ascii="Arial" w:hAnsi="Arial" w:cs="Arial"/>
          <w:color w:val="auto"/>
          <w:szCs w:val="21"/>
          <w:highlight w:val="none"/>
        </w:rPr>
        <w:t>天对方有权解除合同，违约方承担因此给对方造成经济损失；甲方延期付货款的，每天向乙方偿付延期货款额</w:t>
      </w:r>
      <w:r>
        <w:rPr>
          <w:rFonts w:ascii="Arial" w:hAnsi="Arial" w:cs="Arial"/>
          <w:color w:val="auto"/>
          <w:szCs w:val="21"/>
          <w:highlight w:val="none"/>
          <w:u w:val="single"/>
        </w:rPr>
        <w:t xml:space="preserve">3‰ </w:t>
      </w:r>
      <w:r>
        <w:rPr>
          <w:rFonts w:ascii="Arial" w:hAnsi="Arial" w:cs="Arial"/>
          <w:color w:val="auto"/>
          <w:szCs w:val="21"/>
          <w:highlight w:val="none"/>
        </w:rPr>
        <w:t>滞纳金，但滞纳金累计不得超过延期货款额</w:t>
      </w:r>
      <w:r>
        <w:rPr>
          <w:rFonts w:ascii="Arial" w:hAnsi="Arial" w:cs="Arial"/>
          <w:color w:val="auto"/>
          <w:szCs w:val="21"/>
          <w:highlight w:val="none"/>
          <w:u w:val="single"/>
        </w:rPr>
        <w:t>5%</w:t>
      </w:r>
      <w:r>
        <w:rPr>
          <w:rFonts w:ascii="Arial" w:hAnsi="Arial" w:cs="Arial"/>
          <w:color w:val="auto"/>
          <w:szCs w:val="21"/>
          <w:highlight w:val="none"/>
        </w:rPr>
        <w:t>。</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5.乙方未按本合同和响应文件中规定的服务承诺提供售后服务的，乙方应按本合同合计金额</w:t>
      </w:r>
      <w:r>
        <w:rPr>
          <w:rFonts w:ascii="Arial" w:hAnsi="Arial" w:cs="Arial"/>
          <w:color w:val="auto"/>
          <w:szCs w:val="21"/>
          <w:highlight w:val="none"/>
          <w:u w:val="single"/>
        </w:rPr>
        <w:t xml:space="preserve"> 5%</w:t>
      </w:r>
      <w:r>
        <w:rPr>
          <w:rFonts w:ascii="Arial" w:hAnsi="Arial" w:cs="Arial"/>
          <w:color w:val="auto"/>
          <w:szCs w:val="21"/>
          <w:highlight w:val="none"/>
        </w:rPr>
        <w:t>向甲方支付违约金。</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6.乙方提供的货物在质量保证期内，因设计、工艺或材料的缺陷和其它质量原因造成的问题，由乙方负责，费用从质量保证金中扣除，质量保证金不足以支付的，由乙方另行支付。</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7.其它违约行为按违约货款额5%收取违约金并赔偿经济损失。</w:t>
      </w:r>
    </w:p>
    <w:p>
      <w:pPr>
        <w:snapToGrid w:val="0"/>
        <w:spacing w:line="300" w:lineRule="exact"/>
        <w:ind w:firstLine="420" w:firstLineChars="200"/>
        <w:rPr>
          <w:rFonts w:ascii="Arial" w:hAnsi="Arial" w:cs="Arial"/>
          <w:color w:val="auto"/>
          <w:szCs w:val="21"/>
          <w:highlight w:val="none"/>
        </w:rPr>
      </w:pPr>
      <w:r>
        <w:rPr>
          <w:rFonts w:ascii="Arial" w:hAnsi="Arial" w:cs="Arial"/>
          <w:color w:val="auto"/>
          <w:szCs w:val="21"/>
          <w:highlight w:val="none"/>
        </w:rPr>
        <w:t>8、因甲方原因导致变更、中止或者终止采购合同的，应当依照合同约定对乙方受到的损失予以赔偿或者补偿。赔偿（补偿）标准：</w:t>
      </w:r>
      <w:r>
        <w:rPr>
          <w:rFonts w:ascii="Arial" w:hAnsi="Arial" w:cs="Arial"/>
          <w:color w:val="auto"/>
          <w:szCs w:val="21"/>
          <w:highlight w:val="none"/>
          <w:u w:val="single"/>
        </w:rPr>
        <w:t xml:space="preserve">  按实际损失赔偿    </w:t>
      </w:r>
    </w:p>
    <w:p>
      <w:pPr>
        <w:pStyle w:val="23"/>
        <w:snapToGrid w:val="0"/>
        <w:spacing w:before="120" w:after="120" w:line="360" w:lineRule="exact"/>
        <w:ind w:firstLine="413" w:firstLineChars="196"/>
        <w:rPr>
          <w:rFonts w:ascii="Arial" w:hAnsi="Arial" w:cs="Arial"/>
          <w:b/>
          <w:color w:val="auto"/>
          <w:highlight w:val="none"/>
        </w:rPr>
      </w:pPr>
      <w:r>
        <w:rPr>
          <w:rFonts w:ascii="Arial" w:hAnsi="Arial" w:cs="Arial"/>
          <w:b/>
          <w:color w:val="auto"/>
          <w:highlight w:val="none"/>
        </w:rPr>
        <w:t>第十五条 不可抗力事件处理</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 在合同有效期内，任何一方因不可抗力事件导致不能履行合同，则合同履行期可延长，其延长期与不可抗力影响期相同。</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 不可抗力事件发生后，应立即通知对方，并寄送有关权威机构出具的证明。</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 不可抗力事件延续一百二十天以上，双方应通过友好协商，确定是否继续履行合同。</w:t>
      </w:r>
    </w:p>
    <w:p>
      <w:pPr>
        <w:snapToGrid w:val="0"/>
        <w:spacing w:line="360" w:lineRule="exact"/>
        <w:ind w:firstLine="422" w:firstLineChars="200"/>
        <w:rPr>
          <w:rFonts w:ascii="Arial" w:hAnsi="Arial" w:cs="Arial"/>
          <w:color w:val="auto"/>
          <w:szCs w:val="21"/>
          <w:highlight w:val="none"/>
        </w:rPr>
      </w:pPr>
      <w:r>
        <w:rPr>
          <w:rFonts w:ascii="Arial" w:hAnsi="Arial" w:cs="Arial"/>
          <w:b/>
          <w:color w:val="auto"/>
          <w:szCs w:val="21"/>
          <w:highlight w:val="none"/>
        </w:rPr>
        <w:t>第十六条  合同争议解决</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 因货物质量问题发生争议的，应邀请国家认定的质量检测机构按照国家标准对货物质量进行验收。货物符合国家标准的，鉴定费由甲方承担；货物不符合国家标准的，鉴定费由乙方承担。</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 因履行本合同引起的或与本合同有关的争议，甲乙双方应首先通过友好协商解决，如果协商不能解决，可向甲方所在地人民法院提起诉讼。</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 诉讼期间，本合同继续履行。</w:t>
      </w:r>
    </w:p>
    <w:p>
      <w:pPr>
        <w:pStyle w:val="23"/>
        <w:snapToGrid w:val="0"/>
        <w:spacing w:before="120" w:after="120" w:line="360" w:lineRule="exact"/>
        <w:ind w:firstLine="422" w:firstLineChars="200"/>
        <w:rPr>
          <w:rFonts w:ascii="Arial" w:hAnsi="Arial" w:cs="Arial"/>
          <w:b/>
          <w:color w:val="auto"/>
          <w:highlight w:val="none"/>
        </w:rPr>
      </w:pPr>
      <w:r>
        <w:rPr>
          <w:rFonts w:ascii="Arial" w:hAnsi="Arial" w:cs="Arial"/>
          <w:b/>
          <w:color w:val="auto"/>
          <w:highlight w:val="none"/>
        </w:rPr>
        <w:t>第十七条 合同生效及其它</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1．合同经双方法定代表人或授权代表签字并加盖单位公章后生效。</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2．合同执行中涉及采购资金和采购内容修改或补充的，由甲乙双方协商决定并签署补充协议，补充协议作为主合同不可分割的一部分。</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3．本合同未尽事宜，遵照</w:t>
      </w:r>
      <w:bookmarkStart w:id="30" w:name="_Hlk61622450"/>
      <w:r>
        <w:rPr>
          <w:rFonts w:ascii="Arial" w:hAnsi="Arial" w:cs="Arial"/>
          <w:color w:val="auto"/>
          <w:szCs w:val="21"/>
          <w:highlight w:val="none"/>
        </w:rPr>
        <w:t>《</w:t>
      </w:r>
      <w:r>
        <w:rPr>
          <w:rFonts w:hint="eastAsia" w:ascii="Arial" w:hAnsi="Arial" w:cs="Arial"/>
          <w:color w:val="auto"/>
          <w:szCs w:val="21"/>
          <w:highlight w:val="none"/>
        </w:rPr>
        <w:t>中华人民共和国民法典</w:t>
      </w:r>
      <w:r>
        <w:rPr>
          <w:rFonts w:ascii="Arial" w:hAnsi="Arial" w:cs="Arial"/>
          <w:color w:val="auto"/>
          <w:szCs w:val="21"/>
          <w:highlight w:val="none"/>
        </w:rPr>
        <w:t>》</w:t>
      </w:r>
      <w:bookmarkEnd w:id="30"/>
      <w:r>
        <w:rPr>
          <w:rFonts w:ascii="Arial" w:hAnsi="Arial" w:cs="Arial"/>
          <w:color w:val="auto"/>
          <w:szCs w:val="21"/>
          <w:highlight w:val="none"/>
        </w:rPr>
        <w:t>有关条文执行。</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第十八条　合同的变更、终止与转让</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1.本合同一经签订，甲乙双方不得擅自变更、中止或终止。</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2.未经甲方书面同意，乙方不得擅自转让（无进口资格的乙方委托进口货物除外）其应履行的合同义务。</w:t>
      </w:r>
    </w:p>
    <w:p>
      <w:pPr>
        <w:snapToGrid w:val="0"/>
        <w:spacing w:line="360" w:lineRule="exact"/>
        <w:ind w:firstLine="422" w:firstLineChars="200"/>
        <w:rPr>
          <w:rFonts w:ascii="Arial" w:hAnsi="Arial" w:cs="Arial"/>
          <w:b/>
          <w:color w:val="auto"/>
          <w:szCs w:val="21"/>
          <w:highlight w:val="none"/>
        </w:rPr>
      </w:pPr>
      <w:r>
        <w:rPr>
          <w:rFonts w:ascii="Arial" w:hAnsi="Arial" w:cs="Arial"/>
          <w:b/>
          <w:color w:val="auto"/>
          <w:szCs w:val="21"/>
          <w:highlight w:val="none"/>
        </w:rPr>
        <w:t>第十九条　签订本合同依据</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1.采购谈判文件；</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2.乙方提供的响应文件；</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3.响应承诺书；</w:t>
      </w:r>
    </w:p>
    <w:p>
      <w:pPr>
        <w:snapToGrid w:val="0"/>
        <w:spacing w:line="360" w:lineRule="exact"/>
        <w:ind w:firstLine="420" w:firstLineChars="200"/>
        <w:rPr>
          <w:rFonts w:ascii="Arial" w:hAnsi="Arial" w:cs="Arial"/>
          <w:color w:val="auto"/>
          <w:szCs w:val="21"/>
          <w:highlight w:val="none"/>
          <w:u w:val="single"/>
        </w:rPr>
      </w:pPr>
      <w:r>
        <w:rPr>
          <w:rFonts w:ascii="Arial" w:hAnsi="Arial" w:cs="Arial"/>
          <w:color w:val="auto"/>
          <w:szCs w:val="21"/>
          <w:highlight w:val="none"/>
        </w:rPr>
        <w:t>4.成交通知书。</w:t>
      </w:r>
    </w:p>
    <w:p>
      <w:pPr>
        <w:snapToGrid w:val="0"/>
        <w:spacing w:line="360" w:lineRule="exact"/>
        <w:ind w:firstLine="422" w:firstLineChars="200"/>
        <w:rPr>
          <w:rFonts w:ascii="Arial" w:hAnsi="Arial" w:cs="Arial"/>
          <w:color w:val="auto"/>
          <w:szCs w:val="21"/>
          <w:highlight w:val="none"/>
        </w:rPr>
      </w:pPr>
      <w:r>
        <w:rPr>
          <w:rFonts w:ascii="Arial" w:hAnsi="Arial" w:cs="Arial"/>
          <w:b/>
          <w:color w:val="auto"/>
          <w:szCs w:val="21"/>
          <w:highlight w:val="none"/>
        </w:rPr>
        <w:t>第二十条　</w:t>
      </w:r>
      <w:r>
        <w:rPr>
          <w:rFonts w:ascii="Arial" w:hAnsi="Arial" w:cs="Arial"/>
          <w:color w:val="auto"/>
          <w:szCs w:val="21"/>
          <w:highlight w:val="none"/>
        </w:rPr>
        <w:t>本合同一式</w:t>
      </w:r>
      <w:r>
        <w:rPr>
          <w:rFonts w:hint="eastAsia" w:ascii="Arial" w:hAnsi="Arial" w:cs="Arial"/>
          <w:color w:val="auto"/>
          <w:szCs w:val="21"/>
          <w:highlight w:val="none"/>
        </w:rPr>
        <w:t>四</w:t>
      </w:r>
      <w:r>
        <w:rPr>
          <w:rFonts w:ascii="Arial" w:hAnsi="Arial" w:cs="Arial"/>
          <w:color w:val="auto"/>
          <w:szCs w:val="21"/>
          <w:highlight w:val="none"/>
        </w:rPr>
        <w:t>份，具有同等法律效力。甲方</w:t>
      </w:r>
      <w:r>
        <w:rPr>
          <w:rFonts w:hint="eastAsia" w:ascii="Arial" w:hAnsi="Arial" w:cs="Arial"/>
          <w:color w:val="auto"/>
          <w:szCs w:val="21"/>
          <w:highlight w:val="none"/>
        </w:rPr>
        <w:t>二</w:t>
      </w:r>
      <w:r>
        <w:rPr>
          <w:rFonts w:ascii="Arial" w:hAnsi="Arial" w:cs="Arial"/>
          <w:color w:val="auto"/>
          <w:szCs w:val="21"/>
          <w:highlight w:val="none"/>
        </w:rPr>
        <w:t>份，乙方</w:t>
      </w:r>
      <w:r>
        <w:rPr>
          <w:rFonts w:hint="eastAsia" w:ascii="Arial" w:hAnsi="Arial" w:cs="Arial"/>
          <w:color w:val="auto"/>
          <w:szCs w:val="21"/>
          <w:highlight w:val="none"/>
        </w:rPr>
        <w:t>二</w:t>
      </w:r>
      <w:r>
        <w:rPr>
          <w:rFonts w:ascii="Arial" w:hAnsi="Arial" w:cs="Arial"/>
          <w:color w:val="auto"/>
          <w:szCs w:val="21"/>
          <w:highlight w:val="none"/>
        </w:rPr>
        <w:t>份。</w:t>
      </w:r>
    </w:p>
    <w:p>
      <w:pPr>
        <w:snapToGrid w:val="0"/>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本合同经甲乙双方法定代表人或委托代理人签字并加盖单位公章后生效。</w:t>
      </w:r>
    </w:p>
    <w:p>
      <w:pPr>
        <w:snapToGrid w:val="0"/>
        <w:spacing w:line="360" w:lineRule="exact"/>
        <w:ind w:firstLine="420" w:firstLineChars="200"/>
        <w:rPr>
          <w:rFonts w:ascii="Arial" w:hAnsi="Arial" w:cs="Arial"/>
          <w:color w:val="auto"/>
          <w:szCs w:val="21"/>
          <w:highlight w:val="none"/>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 xml:space="preserve">甲方（章）           </w:t>
            </w:r>
          </w:p>
          <w:p>
            <w:pPr>
              <w:snapToGrid w:val="0"/>
              <w:spacing w:line="360" w:lineRule="exact"/>
              <w:rPr>
                <w:rFonts w:ascii="Arial" w:hAnsi="Arial" w:cs="Arial"/>
                <w:color w:val="auto"/>
                <w:szCs w:val="21"/>
                <w:highlight w:val="none"/>
              </w:rPr>
            </w:pPr>
          </w:p>
          <w:p>
            <w:pPr>
              <w:snapToGrid w:val="0"/>
              <w:spacing w:line="360" w:lineRule="exact"/>
              <w:rPr>
                <w:rFonts w:ascii="Arial" w:hAnsi="Arial" w:cs="Arial"/>
                <w:color w:val="auto"/>
                <w:szCs w:val="21"/>
                <w:highlight w:val="none"/>
              </w:rPr>
            </w:pPr>
          </w:p>
          <w:p>
            <w:pPr>
              <w:snapToGrid w:val="0"/>
              <w:spacing w:line="360" w:lineRule="exact"/>
              <w:ind w:firstLine="945" w:firstLineChars="450"/>
              <w:jc w:val="right"/>
              <w:rPr>
                <w:rFonts w:ascii="Arial" w:hAnsi="Arial" w:cs="Arial"/>
                <w:color w:val="auto"/>
                <w:szCs w:val="21"/>
                <w:highlight w:val="none"/>
              </w:rPr>
            </w:pPr>
            <w:r>
              <w:rPr>
                <w:rFonts w:ascii="Arial" w:hAnsi="Arial" w:cs="Arial"/>
                <w:color w:val="auto"/>
                <w:szCs w:val="21"/>
                <w:highlight w:val="none"/>
              </w:rPr>
              <w:t>年   月   日</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 xml:space="preserve">乙方（章）              </w:t>
            </w:r>
          </w:p>
          <w:p>
            <w:pPr>
              <w:snapToGrid w:val="0"/>
              <w:spacing w:line="360" w:lineRule="exact"/>
              <w:rPr>
                <w:rFonts w:ascii="Arial" w:hAnsi="Arial" w:cs="Arial"/>
                <w:color w:val="auto"/>
                <w:szCs w:val="21"/>
                <w:highlight w:val="none"/>
              </w:rPr>
            </w:pPr>
          </w:p>
          <w:p>
            <w:pPr>
              <w:snapToGrid w:val="0"/>
              <w:spacing w:line="360" w:lineRule="exact"/>
              <w:rPr>
                <w:rFonts w:ascii="Arial" w:hAnsi="Arial" w:cs="Arial"/>
                <w:color w:val="auto"/>
                <w:szCs w:val="21"/>
                <w:highlight w:val="none"/>
              </w:rPr>
            </w:pPr>
          </w:p>
          <w:p>
            <w:pPr>
              <w:snapToGrid w:val="0"/>
              <w:spacing w:line="360" w:lineRule="exact"/>
              <w:jc w:val="right"/>
              <w:rPr>
                <w:rFonts w:ascii="Arial" w:hAnsi="Arial" w:cs="Arial"/>
                <w:color w:val="auto"/>
                <w:szCs w:val="21"/>
                <w:highlight w:val="none"/>
              </w:rPr>
            </w:pPr>
            <w:r>
              <w:rPr>
                <w:rFonts w:ascii="Arial" w:hAnsi="Arial" w:cs="Arial"/>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单位地址：</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法定代表人：</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委托代理人：</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电话：</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电子邮箱：</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开户银行：</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账号：</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4437"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邮政编码：</w:t>
            </w:r>
          </w:p>
        </w:tc>
        <w:tc>
          <w:tcPr>
            <w:tcW w:w="4688" w:type="dxa"/>
            <w:vAlign w:val="center"/>
          </w:tcPr>
          <w:p>
            <w:pPr>
              <w:snapToGrid w:val="0"/>
              <w:spacing w:line="360" w:lineRule="exact"/>
              <w:rPr>
                <w:rFonts w:ascii="Arial" w:hAnsi="Arial" w:cs="Arial"/>
                <w:color w:val="auto"/>
                <w:szCs w:val="21"/>
                <w:highlight w:val="none"/>
              </w:rPr>
            </w:pPr>
            <w:r>
              <w:rPr>
                <w:rFonts w:ascii="Arial" w:hAnsi="Arial" w:cs="Arial"/>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9125" w:type="dxa"/>
            <w:gridSpan w:val="2"/>
          </w:tcPr>
          <w:p>
            <w:pPr>
              <w:snapToGrid w:val="0"/>
              <w:spacing w:line="360" w:lineRule="exact"/>
              <w:rPr>
                <w:rFonts w:ascii="Arial" w:hAnsi="Arial" w:cs="Arial"/>
                <w:color w:val="auto"/>
                <w:szCs w:val="21"/>
                <w:highlight w:val="none"/>
              </w:rPr>
            </w:pPr>
            <w:r>
              <w:rPr>
                <w:rFonts w:ascii="Arial" w:hAnsi="Arial" w:cs="Arial"/>
                <w:color w:val="auto"/>
                <w:szCs w:val="21"/>
                <w:highlight w:val="none"/>
              </w:rPr>
              <w:t>经办人：</w:t>
            </w:r>
          </w:p>
          <w:p>
            <w:pPr>
              <w:snapToGrid w:val="0"/>
              <w:spacing w:line="360" w:lineRule="exact"/>
              <w:ind w:firstLine="630" w:firstLineChars="300"/>
              <w:jc w:val="right"/>
              <w:rPr>
                <w:rFonts w:ascii="Arial" w:hAnsi="Arial" w:cs="Arial"/>
                <w:color w:val="auto"/>
                <w:szCs w:val="21"/>
                <w:highlight w:val="none"/>
              </w:rPr>
            </w:pPr>
          </w:p>
          <w:p>
            <w:pPr>
              <w:snapToGrid w:val="0"/>
              <w:spacing w:line="360" w:lineRule="exact"/>
              <w:ind w:firstLine="630" w:firstLineChars="300"/>
              <w:jc w:val="right"/>
              <w:rPr>
                <w:rFonts w:ascii="Arial" w:hAnsi="Arial" w:cs="Arial"/>
                <w:color w:val="auto"/>
                <w:szCs w:val="21"/>
                <w:highlight w:val="none"/>
              </w:rPr>
            </w:pPr>
          </w:p>
          <w:p>
            <w:pPr>
              <w:snapToGrid w:val="0"/>
              <w:spacing w:line="360" w:lineRule="exact"/>
              <w:ind w:firstLine="630" w:firstLineChars="300"/>
              <w:jc w:val="right"/>
              <w:rPr>
                <w:rFonts w:ascii="Arial" w:hAnsi="Arial" w:cs="Arial"/>
                <w:color w:val="auto"/>
                <w:szCs w:val="21"/>
                <w:highlight w:val="none"/>
              </w:rPr>
            </w:pPr>
            <w:r>
              <w:rPr>
                <w:rFonts w:ascii="Arial" w:hAnsi="Arial" w:cs="Arial"/>
                <w:color w:val="auto"/>
                <w:szCs w:val="21"/>
                <w:highlight w:val="none"/>
              </w:rPr>
              <w:t>年    月    日</w:t>
            </w:r>
          </w:p>
        </w:tc>
      </w:tr>
    </w:tbl>
    <w:p>
      <w:pPr>
        <w:spacing w:before="120" w:line="320" w:lineRule="atLeast"/>
        <w:jc w:val="left"/>
        <w:outlineLvl w:val="1"/>
        <w:rPr>
          <w:rFonts w:ascii="Arial" w:hAnsi="Arial" w:cs="Arial"/>
          <w:b/>
          <w:bCs/>
          <w:color w:val="auto"/>
          <w:kern w:val="0"/>
          <w:szCs w:val="21"/>
          <w:highlight w:val="none"/>
        </w:rPr>
      </w:pPr>
      <w:r>
        <w:rPr>
          <w:rFonts w:ascii="Arial" w:hAnsi="Arial" w:cs="Arial"/>
          <w:color w:val="auto"/>
          <w:szCs w:val="21"/>
          <w:highlight w:val="none"/>
        </w:rPr>
        <w:br w:type="page"/>
      </w:r>
      <w:r>
        <w:rPr>
          <w:rFonts w:ascii="Arial" w:hAnsi="Arial" w:cs="Arial"/>
          <w:b/>
          <w:bCs/>
          <w:color w:val="auto"/>
          <w:kern w:val="0"/>
          <w:szCs w:val="21"/>
          <w:highlight w:val="none"/>
        </w:rPr>
        <w:t>合同附件1</w:t>
      </w:r>
    </w:p>
    <w:p>
      <w:pPr>
        <w:rPr>
          <w:rFonts w:ascii="Arial" w:hAnsi="Arial" w:cs="Arial"/>
          <w:color w:val="auto"/>
          <w:szCs w:val="21"/>
          <w:highlight w:val="none"/>
        </w:rPr>
      </w:pPr>
      <w:r>
        <w:rPr>
          <w:rFonts w:ascii="Arial" w:hAnsi="Arial" w:cs="Arial"/>
          <w:color w:val="auto"/>
          <w:szCs w:val="21"/>
          <w:highlight w:val="none"/>
        </w:rPr>
        <w:t xml:space="preserve">  </w:t>
      </w:r>
    </w:p>
    <w:p>
      <w:pPr>
        <w:jc w:val="center"/>
        <w:rPr>
          <w:rFonts w:ascii="Arial" w:hAnsi="Arial" w:cs="Arial"/>
          <w:color w:val="auto"/>
          <w:szCs w:val="21"/>
          <w:highlight w:val="none"/>
        </w:rPr>
      </w:pPr>
      <w:r>
        <w:rPr>
          <w:rFonts w:ascii="Arial" w:hAnsi="Arial" w:cs="Arial"/>
          <w:b/>
          <w:bCs/>
          <w:color w:val="auto"/>
          <w:szCs w:val="21"/>
          <w:highlight w:val="none"/>
        </w:rPr>
        <w:t>响应承诺书</w:t>
      </w:r>
    </w:p>
    <w:p>
      <w:pPr>
        <w:rPr>
          <w:rFonts w:ascii="Arial" w:hAnsi="Arial" w:cs="Arial"/>
          <w:color w:val="auto"/>
          <w:szCs w:val="21"/>
          <w:highlight w:val="none"/>
        </w:rPr>
      </w:pPr>
      <w:r>
        <w:rPr>
          <w:rFonts w:ascii="Arial" w:hAnsi="Arial" w:cs="Arial"/>
          <w:color w:val="auto"/>
          <w:szCs w:val="21"/>
          <w:highlight w:val="none"/>
        </w:rPr>
        <w:t>一般货物类</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ind w:right="210"/>
              <w:jc w:val="left"/>
              <w:rPr>
                <w:rFonts w:ascii="Arial" w:hAnsi="Arial" w:cs="Arial"/>
                <w:color w:val="auto"/>
                <w:szCs w:val="21"/>
                <w:highlight w:val="none"/>
              </w:rPr>
            </w:pPr>
            <w:r>
              <w:rPr>
                <w:rFonts w:ascii="Arial" w:hAnsi="Arial" w:cs="Arial"/>
                <w:color w:val="auto"/>
                <w:szCs w:val="21"/>
                <w:highlight w:val="none"/>
              </w:rPr>
              <w:t>1．乙方承诺具体事项：</w:t>
            </w:r>
          </w:p>
          <w:p>
            <w:pPr>
              <w:ind w:right="210"/>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rFonts w:ascii="Arial" w:hAnsi="Arial" w:cs="Arial"/>
                <w:color w:val="auto"/>
                <w:szCs w:val="21"/>
                <w:highlight w:val="none"/>
              </w:rPr>
            </w:pPr>
            <w:r>
              <w:rPr>
                <w:rFonts w:ascii="Arial" w:hAnsi="Arial" w:cs="Arial"/>
                <w:color w:val="auto"/>
                <w:szCs w:val="21"/>
                <w:highlight w:val="none"/>
              </w:rPr>
              <w:t>2．售后服务具体事项：</w:t>
            </w:r>
          </w:p>
          <w:p>
            <w:pP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rFonts w:ascii="Arial" w:hAnsi="Arial" w:cs="Arial"/>
                <w:color w:val="auto"/>
                <w:szCs w:val="21"/>
                <w:highlight w:val="none"/>
              </w:rPr>
            </w:pPr>
            <w:r>
              <w:rPr>
                <w:rFonts w:ascii="Arial" w:hAnsi="Arial" w:cs="Arial"/>
                <w:color w:val="auto"/>
                <w:szCs w:val="21"/>
                <w:highlight w:val="none"/>
              </w:rPr>
              <w:t>3．质保期责任：</w:t>
            </w:r>
          </w:p>
          <w:p>
            <w:pP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pPr>
              <w:rPr>
                <w:rFonts w:ascii="Arial" w:hAnsi="Arial" w:cs="Arial"/>
                <w:color w:val="auto"/>
                <w:szCs w:val="21"/>
                <w:highlight w:val="none"/>
              </w:rPr>
            </w:pPr>
            <w:r>
              <w:rPr>
                <w:rFonts w:ascii="Arial" w:hAnsi="Arial" w:cs="Arial"/>
                <w:color w:val="auto"/>
                <w:szCs w:val="21"/>
                <w:highlight w:val="none"/>
              </w:rPr>
              <w:t>4．其他具体事项：</w:t>
            </w:r>
          </w:p>
          <w:p>
            <w:pP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pPr>
              <w:rPr>
                <w:rFonts w:ascii="Arial" w:hAnsi="Arial" w:cs="Arial"/>
                <w:color w:val="auto"/>
                <w:szCs w:val="21"/>
                <w:highlight w:val="none"/>
              </w:rPr>
            </w:pPr>
            <w:r>
              <w:rPr>
                <w:rFonts w:ascii="Arial" w:hAnsi="Arial" w:cs="Arial"/>
                <w:color w:val="auto"/>
                <w:szCs w:val="21"/>
                <w:highlight w:val="none"/>
              </w:rPr>
              <w:t>甲方(章)</w:t>
            </w:r>
          </w:p>
          <w:p>
            <w:pPr>
              <w:rPr>
                <w:rFonts w:ascii="Arial" w:hAnsi="Arial" w:cs="Arial"/>
                <w:color w:val="auto"/>
                <w:szCs w:val="21"/>
                <w:highlight w:val="none"/>
              </w:rPr>
            </w:pPr>
          </w:p>
          <w:p>
            <w:pPr>
              <w:rPr>
                <w:rFonts w:ascii="Arial" w:hAnsi="Arial" w:cs="Arial"/>
                <w:color w:val="auto"/>
                <w:szCs w:val="21"/>
                <w:highlight w:val="none"/>
              </w:rPr>
            </w:pPr>
          </w:p>
          <w:p>
            <w:pPr>
              <w:wordWrap w:val="0"/>
              <w:jc w:val="right"/>
              <w:rPr>
                <w:rFonts w:ascii="Arial" w:hAnsi="Arial" w:cs="Arial"/>
                <w:color w:val="auto"/>
                <w:szCs w:val="21"/>
                <w:highlight w:val="none"/>
              </w:rPr>
            </w:pPr>
            <w:r>
              <w:rPr>
                <w:rFonts w:ascii="Arial" w:hAnsi="Arial" w:cs="Arial"/>
                <w:color w:val="auto"/>
                <w:szCs w:val="21"/>
                <w:highlight w:val="none"/>
              </w:rPr>
              <w:t xml:space="preserve"> 年  月   日</w:t>
            </w:r>
          </w:p>
        </w:tc>
        <w:tc>
          <w:tcPr>
            <w:tcW w:w="4285" w:type="dxa"/>
            <w:vAlign w:val="center"/>
          </w:tcPr>
          <w:p>
            <w:pPr>
              <w:rPr>
                <w:rFonts w:ascii="Arial" w:hAnsi="Arial" w:cs="Arial"/>
                <w:color w:val="auto"/>
                <w:szCs w:val="21"/>
                <w:highlight w:val="none"/>
              </w:rPr>
            </w:pPr>
            <w:r>
              <w:rPr>
                <w:rFonts w:ascii="Arial" w:hAnsi="Arial" w:cs="Arial"/>
                <w:color w:val="auto"/>
                <w:szCs w:val="21"/>
                <w:highlight w:val="none"/>
              </w:rPr>
              <w:t>乙方(章)</w:t>
            </w:r>
          </w:p>
          <w:p>
            <w:pPr>
              <w:rPr>
                <w:rFonts w:ascii="Arial" w:hAnsi="Arial" w:cs="Arial"/>
                <w:color w:val="auto"/>
                <w:szCs w:val="21"/>
                <w:highlight w:val="none"/>
              </w:rPr>
            </w:pPr>
          </w:p>
          <w:p>
            <w:pPr>
              <w:rPr>
                <w:rFonts w:ascii="Arial" w:hAnsi="Arial" w:cs="Arial"/>
                <w:color w:val="auto"/>
                <w:szCs w:val="21"/>
                <w:highlight w:val="none"/>
              </w:rPr>
            </w:pPr>
          </w:p>
          <w:p>
            <w:pPr>
              <w:wordWrap w:val="0"/>
              <w:jc w:val="right"/>
              <w:rPr>
                <w:rFonts w:ascii="Arial" w:hAnsi="Arial" w:cs="Arial"/>
                <w:color w:val="auto"/>
                <w:szCs w:val="21"/>
                <w:highlight w:val="none"/>
              </w:rPr>
            </w:pPr>
            <w:r>
              <w:rPr>
                <w:rFonts w:ascii="Arial" w:hAnsi="Arial" w:cs="Arial"/>
                <w:color w:val="auto"/>
                <w:szCs w:val="21"/>
                <w:highlight w:val="none"/>
              </w:rPr>
              <w:t xml:space="preserve"> 年  月   日</w:t>
            </w:r>
          </w:p>
        </w:tc>
      </w:tr>
    </w:tbl>
    <w:p>
      <w:pPr>
        <w:snapToGrid w:val="0"/>
        <w:spacing w:line="400" w:lineRule="exact"/>
        <w:rPr>
          <w:rFonts w:ascii="Arial" w:hAnsi="Arial" w:cs="Arial"/>
          <w:b/>
          <w:bCs/>
          <w:color w:val="auto"/>
          <w:szCs w:val="21"/>
          <w:highlight w:val="none"/>
        </w:rPr>
      </w:pPr>
      <w:r>
        <w:rPr>
          <w:rFonts w:ascii="Arial" w:hAnsi="Arial" w:cs="Arial"/>
          <w:color w:val="auto"/>
          <w:szCs w:val="21"/>
          <w:highlight w:val="none"/>
        </w:rPr>
        <w:t>注：售后服务事项填不下时可另加附页。</w:t>
      </w:r>
    </w:p>
    <w:p>
      <w:pPr>
        <w:snapToGrid w:val="0"/>
        <w:rPr>
          <w:rFonts w:ascii="Arial" w:hAnsi="Arial" w:cs="Arial"/>
          <w:color w:val="auto"/>
          <w:sz w:val="18"/>
          <w:szCs w:val="18"/>
          <w:highlight w:val="none"/>
        </w:rPr>
      </w:pPr>
    </w:p>
    <w:p>
      <w:pPr>
        <w:spacing w:before="120" w:line="320" w:lineRule="atLeast"/>
        <w:jc w:val="left"/>
        <w:outlineLvl w:val="1"/>
        <w:rPr>
          <w:rFonts w:ascii="Arial" w:hAnsi="Arial" w:cs="Arial"/>
          <w:b/>
          <w:bCs/>
          <w:color w:val="auto"/>
          <w:kern w:val="0"/>
          <w:szCs w:val="21"/>
          <w:highlight w:val="none"/>
        </w:rPr>
      </w:pPr>
      <w:r>
        <w:rPr>
          <w:rFonts w:ascii="Arial" w:hAnsi="Arial" w:cs="Arial"/>
          <w:b/>
          <w:color w:val="auto"/>
          <w:sz w:val="32"/>
          <w:szCs w:val="32"/>
          <w:highlight w:val="none"/>
        </w:rPr>
        <w:br w:type="page"/>
      </w:r>
      <w:r>
        <w:rPr>
          <w:rFonts w:ascii="Arial" w:hAnsi="Arial" w:cs="Arial"/>
          <w:b/>
          <w:bCs/>
          <w:color w:val="auto"/>
          <w:kern w:val="0"/>
          <w:szCs w:val="21"/>
          <w:highlight w:val="none"/>
        </w:rPr>
        <w:t>合同附件2</w:t>
      </w:r>
    </w:p>
    <w:p>
      <w:pPr>
        <w:pStyle w:val="19"/>
        <w:ind w:firstLine="634"/>
        <w:rPr>
          <w:rFonts w:ascii="Arial" w:hAnsi="Arial" w:cs="Arial"/>
          <w:color w:val="auto"/>
          <w:sz w:val="18"/>
          <w:szCs w:val="18"/>
          <w:highlight w:val="none"/>
        </w:rPr>
      </w:pPr>
    </w:p>
    <w:p>
      <w:pPr>
        <w:snapToGrid w:val="0"/>
        <w:spacing w:line="360" w:lineRule="exact"/>
        <w:jc w:val="center"/>
        <w:rPr>
          <w:rFonts w:ascii="Arial" w:hAnsi="Arial" w:cs="Arial"/>
          <w:b/>
          <w:bCs/>
          <w:color w:val="auto"/>
          <w:szCs w:val="21"/>
          <w:highlight w:val="none"/>
        </w:rPr>
      </w:pPr>
      <w:r>
        <w:rPr>
          <w:rFonts w:ascii="Arial" w:hAnsi="Arial" w:cs="Arial"/>
          <w:b/>
          <w:bCs/>
          <w:color w:val="auto"/>
          <w:szCs w:val="21"/>
          <w:highlight w:val="none"/>
        </w:rPr>
        <w:t>谈判保证金退还申请</w:t>
      </w:r>
      <w:r>
        <w:rPr>
          <w:rFonts w:hint="eastAsia" w:ascii="Arial" w:hAnsi="Arial" w:cs="Arial"/>
          <w:b/>
          <w:bCs/>
          <w:color w:val="auto"/>
          <w:szCs w:val="21"/>
          <w:highlight w:val="none"/>
        </w:rPr>
        <w:t>（如有）</w:t>
      </w:r>
    </w:p>
    <w:p>
      <w:pPr>
        <w:rPr>
          <w:rFonts w:ascii="Arial" w:hAnsi="Arial" w:cs="Arial"/>
          <w:color w:val="auto"/>
          <w:sz w:val="32"/>
          <w:szCs w:val="32"/>
          <w:highlight w:val="none"/>
        </w:rPr>
      </w:pPr>
    </w:p>
    <w:p>
      <w:pPr>
        <w:rPr>
          <w:rFonts w:ascii="Arial" w:hAnsi="Arial" w:cs="Arial"/>
          <w:color w:val="auto"/>
          <w:szCs w:val="21"/>
          <w:highlight w:val="none"/>
        </w:rPr>
      </w:pPr>
      <w:r>
        <w:rPr>
          <w:rFonts w:ascii="Arial" w:hAnsi="Arial" w:cs="Arial"/>
          <w:color w:val="auto"/>
          <w:szCs w:val="21"/>
          <w:highlight w:val="none"/>
        </w:rPr>
        <w:t>广西机电设备招标有限公司：</w:t>
      </w:r>
    </w:p>
    <w:p>
      <w:pPr>
        <w:rPr>
          <w:rFonts w:ascii="Arial" w:hAnsi="Arial" w:cs="Arial"/>
          <w:color w:val="auto"/>
          <w:szCs w:val="21"/>
          <w:highlight w:val="none"/>
        </w:rPr>
      </w:pPr>
    </w:p>
    <w:p>
      <w:pPr>
        <w:snapToGrid w:val="0"/>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我单位</w:t>
      </w:r>
      <w:r>
        <w:rPr>
          <w:rFonts w:ascii="Arial" w:hAnsi="Arial" w:cs="Arial"/>
          <w:color w:val="auto"/>
          <w:szCs w:val="21"/>
          <w:highlight w:val="none"/>
          <w:u w:val="single"/>
        </w:rPr>
        <w:t xml:space="preserve"> （成交供应商名称） </w:t>
      </w:r>
      <w:r>
        <w:rPr>
          <w:rFonts w:ascii="Arial" w:hAnsi="Arial" w:cs="Arial"/>
          <w:color w:val="auto"/>
          <w:szCs w:val="21"/>
          <w:highlight w:val="none"/>
        </w:rPr>
        <w:t>已于</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r>
        <w:rPr>
          <w:rFonts w:ascii="Arial" w:hAnsi="Arial" w:cs="Arial"/>
          <w:color w:val="auto"/>
          <w:szCs w:val="21"/>
          <w:highlight w:val="none"/>
          <w:u w:val="single"/>
        </w:rPr>
        <w:t xml:space="preserve">  </w:t>
      </w:r>
      <w:r>
        <w:rPr>
          <w:rFonts w:ascii="Arial" w:hAnsi="Arial" w:cs="Arial"/>
          <w:color w:val="auto"/>
          <w:szCs w:val="21"/>
          <w:highlight w:val="none"/>
        </w:rPr>
        <w:t>时</w:t>
      </w:r>
      <w:r>
        <w:rPr>
          <w:rFonts w:ascii="Arial" w:hAnsi="Arial" w:cs="Arial"/>
          <w:color w:val="auto"/>
          <w:szCs w:val="21"/>
          <w:highlight w:val="none"/>
          <w:u w:val="single"/>
        </w:rPr>
        <w:t xml:space="preserve">  </w:t>
      </w:r>
      <w:r>
        <w:rPr>
          <w:rFonts w:ascii="Arial" w:hAnsi="Arial" w:cs="Arial"/>
          <w:color w:val="auto"/>
          <w:szCs w:val="21"/>
          <w:highlight w:val="none"/>
        </w:rPr>
        <w:t>分将</w:t>
      </w:r>
      <w:r>
        <w:rPr>
          <w:rFonts w:ascii="Arial" w:hAnsi="Arial" w:cs="Arial"/>
          <w:color w:val="auto"/>
          <w:szCs w:val="21"/>
          <w:highlight w:val="none"/>
          <w:u w:val="single"/>
        </w:rPr>
        <w:t>（项目名称及项目编号）</w:t>
      </w:r>
      <w:r>
        <w:rPr>
          <w:rFonts w:ascii="Arial" w:hAnsi="Arial" w:cs="Arial"/>
          <w:color w:val="auto"/>
          <w:szCs w:val="21"/>
          <w:highlight w:val="none"/>
        </w:rPr>
        <w:t>的采购合同扫描件发送至贵公司所指定的邮件，请给予办理谈判保证金的退还手续。</w:t>
      </w:r>
    </w:p>
    <w:p>
      <w:pPr>
        <w:snapToGrid w:val="0"/>
        <w:spacing w:line="400" w:lineRule="exact"/>
        <w:rPr>
          <w:rFonts w:ascii="Arial" w:hAnsi="Arial" w:cs="Arial"/>
          <w:color w:val="auto"/>
          <w:szCs w:val="21"/>
          <w:highlight w:val="none"/>
        </w:rPr>
      </w:pPr>
    </w:p>
    <w:p>
      <w:pPr>
        <w:snapToGrid w:val="0"/>
        <w:spacing w:line="400" w:lineRule="exact"/>
        <w:ind w:firstLine="420" w:firstLineChars="200"/>
        <w:rPr>
          <w:rFonts w:ascii="Arial" w:hAnsi="Arial" w:cs="Arial"/>
          <w:color w:val="auto"/>
          <w:szCs w:val="21"/>
          <w:highlight w:val="none"/>
        </w:rPr>
      </w:pPr>
    </w:p>
    <w:p>
      <w:pPr>
        <w:wordWrap w:val="0"/>
        <w:snapToGrid w:val="0"/>
        <w:spacing w:line="400" w:lineRule="exact"/>
        <w:jc w:val="right"/>
        <w:rPr>
          <w:rFonts w:ascii="Arial" w:hAnsi="Arial" w:cs="Arial"/>
          <w:color w:val="auto"/>
          <w:szCs w:val="21"/>
          <w:highlight w:val="none"/>
          <w:u w:val="single"/>
        </w:rPr>
      </w:pPr>
      <w:r>
        <w:rPr>
          <w:rFonts w:ascii="Arial" w:hAnsi="Arial" w:cs="Arial"/>
          <w:color w:val="auto"/>
          <w:szCs w:val="21"/>
          <w:highlight w:val="none"/>
        </w:rPr>
        <w:t>供应商邮寄地址：</w:t>
      </w:r>
      <w:r>
        <w:rPr>
          <w:rFonts w:ascii="Arial" w:hAnsi="Arial" w:cs="Arial"/>
          <w:color w:val="auto"/>
          <w:szCs w:val="21"/>
          <w:highlight w:val="none"/>
          <w:u w:val="single"/>
        </w:rPr>
        <w:t xml:space="preserve">           </w:t>
      </w:r>
    </w:p>
    <w:p>
      <w:pPr>
        <w:wordWrap w:val="0"/>
        <w:snapToGrid w:val="0"/>
        <w:spacing w:line="400" w:lineRule="exact"/>
        <w:jc w:val="right"/>
        <w:rPr>
          <w:rFonts w:ascii="Arial" w:hAnsi="Arial" w:cs="Arial"/>
          <w:color w:val="auto"/>
          <w:szCs w:val="21"/>
          <w:highlight w:val="none"/>
          <w:u w:val="single"/>
        </w:rPr>
      </w:pPr>
      <w:r>
        <w:rPr>
          <w:rFonts w:ascii="Arial" w:hAnsi="Arial" w:cs="Arial"/>
          <w:color w:val="auto"/>
          <w:szCs w:val="21"/>
          <w:highlight w:val="none"/>
        </w:rPr>
        <w:t>供应商联系方式：</w:t>
      </w:r>
      <w:r>
        <w:rPr>
          <w:rFonts w:ascii="Arial" w:hAnsi="Arial" w:cs="Arial"/>
          <w:color w:val="auto"/>
          <w:szCs w:val="21"/>
          <w:highlight w:val="none"/>
          <w:u w:val="single"/>
        </w:rPr>
        <w:t xml:space="preserve">           </w:t>
      </w:r>
    </w:p>
    <w:p>
      <w:pPr>
        <w:snapToGrid w:val="0"/>
        <w:spacing w:line="400" w:lineRule="exact"/>
        <w:ind w:right="420" w:firstLine="3570" w:firstLineChars="1700"/>
        <w:jc w:val="right"/>
        <w:rPr>
          <w:rFonts w:ascii="Arial" w:hAnsi="Arial" w:cs="Arial"/>
          <w:color w:val="auto"/>
          <w:szCs w:val="21"/>
          <w:highlight w:val="none"/>
          <w:u w:val="single"/>
        </w:rPr>
      </w:pPr>
      <w:r>
        <w:rPr>
          <w:rFonts w:ascii="Arial" w:hAnsi="Arial" w:cs="Arial"/>
          <w:color w:val="auto"/>
          <w:szCs w:val="21"/>
          <w:highlight w:val="none"/>
        </w:rPr>
        <w:t>公司名称：</w:t>
      </w:r>
      <w:r>
        <w:rPr>
          <w:rFonts w:ascii="Arial" w:hAnsi="Arial" w:cs="Arial"/>
          <w:color w:val="auto"/>
          <w:szCs w:val="21"/>
          <w:highlight w:val="none"/>
          <w:u w:val="single"/>
        </w:rPr>
        <w:t>（盖章）</w:t>
      </w:r>
    </w:p>
    <w:p>
      <w:pPr>
        <w:snapToGrid w:val="0"/>
        <w:spacing w:line="400" w:lineRule="exact"/>
        <w:ind w:right="735" w:firstLine="3570" w:firstLineChars="1700"/>
        <w:jc w:val="right"/>
        <w:rPr>
          <w:rFonts w:ascii="Arial" w:hAnsi="Arial" w:cs="Arial"/>
          <w:b/>
          <w:bCs/>
          <w:color w:val="auto"/>
          <w:szCs w:val="21"/>
          <w:highlight w:val="none"/>
        </w:rPr>
      </w:pPr>
      <w:r>
        <w:rPr>
          <w:rFonts w:ascii="Arial" w:hAnsi="Arial" w:cs="Arial"/>
          <w:color w:val="auto"/>
          <w:szCs w:val="21"/>
          <w:highlight w:val="none"/>
        </w:rPr>
        <w:t xml:space="preserve">日期：  </w:t>
      </w:r>
    </w:p>
    <w:p>
      <w:pPr>
        <w:rPr>
          <w:b/>
          <w:bCs/>
          <w:color w:val="auto"/>
          <w:kern w:val="0"/>
          <w:szCs w:val="21"/>
          <w:highlight w:val="none"/>
        </w:rPr>
      </w:pPr>
      <w:bookmarkStart w:id="31" w:name="_Hlk87870423"/>
      <w:r>
        <w:rPr>
          <w:b/>
          <w:bCs/>
          <w:color w:val="auto"/>
          <w:kern w:val="0"/>
          <w:szCs w:val="21"/>
          <w:highlight w:val="none"/>
        </w:rPr>
        <w:br w:type="page"/>
      </w:r>
    </w:p>
    <w:p>
      <w:pPr>
        <w:spacing w:before="120" w:line="320" w:lineRule="atLeast"/>
        <w:jc w:val="left"/>
        <w:outlineLvl w:val="1"/>
        <w:rPr>
          <w:b/>
          <w:bCs/>
          <w:color w:val="auto"/>
          <w:kern w:val="0"/>
          <w:szCs w:val="21"/>
          <w:highlight w:val="none"/>
        </w:rPr>
      </w:pPr>
      <w:r>
        <w:rPr>
          <w:b/>
          <w:bCs/>
          <w:color w:val="auto"/>
          <w:kern w:val="0"/>
          <w:szCs w:val="21"/>
          <w:highlight w:val="none"/>
        </w:rPr>
        <w:t>合同附件</w:t>
      </w:r>
      <w:r>
        <w:rPr>
          <w:rFonts w:hint="eastAsia"/>
          <w:b/>
          <w:bCs/>
          <w:color w:val="auto"/>
          <w:kern w:val="0"/>
          <w:szCs w:val="21"/>
          <w:highlight w:val="none"/>
        </w:rPr>
        <w:t>3</w:t>
      </w:r>
    </w:p>
    <w:p>
      <w:pPr>
        <w:pStyle w:val="23"/>
        <w:snapToGrid w:val="0"/>
        <w:rPr>
          <w:rFonts w:ascii="Times New Roman" w:hAnsi="Times New Roman" w:cs="Times New Roman"/>
          <w:color w:val="auto"/>
          <w:highlight w:val="none"/>
        </w:rPr>
      </w:pPr>
    </w:p>
    <w:p>
      <w:pPr>
        <w:snapToGrid w:val="0"/>
        <w:spacing w:line="360" w:lineRule="exact"/>
        <w:jc w:val="center"/>
        <w:rPr>
          <w:b/>
          <w:bCs/>
          <w:color w:val="auto"/>
          <w:szCs w:val="21"/>
          <w:highlight w:val="none"/>
        </w:rPr>
      </w:pPr>
      <w:r>
        <w:rPr>
          <w:b/>
          <w:bCs/>
          <w:color w:val="auto"/>
          <w:szCs w:val="21"/>
          <w:highlight w:val="none"/>
        </w:rPr>
        <w:t>广西壮族自治区政府采购项目合同验收书</w:t>
      </w:r>
    </w:p>
    <w:p>
      <w:pPr>
        <w:widowControl/>
        <w:snapToGrid w:val="0"/>
        <w:spacing w:before="100" w:beforeAutospacing="1" w:after="100" w:afterAutospacing="1" w:line="320" w:lineRule="exact"/>
        <w:ind w:left="-359" w:leftChars="-171" w:firstLine="420" w:firstLineChars="200"/>
        <w:jc w:val="left"/>
        <w:rPr>
          <w:color w:val="auto"/>
          <w:kern w:val="0"/>
          <w:szCs w:val="21"/>
          <w:highlight w:val="none"/>
        </w:rPr>
      </w:pPr>
      <w:r>
        <w:rPr>
          <w:color w:val="auto"/>
          <w:kern w:val="0"/>
          <w:szCs w:val="21"/>
          <w:highlight w:val="none"/>
        </w:rPr>
        <w:t>根据政府采购项目（</w:t>
      </w:r>
      <w:r>
        <w:rPr>
          <w:color w:val="auto"/>
          <w:kern w:val="0"/>
          <w:szCs w:val="21"/>
          <w:highlight w:val="none"/>
          <w:u w:val="single"/>
        </w:rPr>
        <w:t xml:space="preserve">采购合同编号：     </w:t>
      </w:r>
      <w:r>
        <w:rPr>
          <w:color w:val="auto"/>
          <w:kern w:val="0"/>
          <w:szCs w:val="21"/>
          <w:highlight w:val="none"/>
        </w:rPr>
        <w:t>）的约定，我单位对（</w:t>
      </w:r>
      <w:r>
        <w:rPr>
          <w:color w:val="auto"/>
          <w:kern w:val="0"/>
          <w:szCs w:val="21"/>
          <w:highlight w:val="none"/>
          <w:u w:val="single"/>
        </w:rPr>
        <w:t xml:space="preserve">  项目名称   </w:t>
      </w:r>
      <w:r>
        <w:rPr>
          <w:color w:val="auto"/>
          <w:kern w:val="0"/>
          <w:szCs w:val="21"/>
          <w:highlight w:val="none"/>
        </w:rPr>
        <w:t>）政府采购项目成交供应商（</w:t>
      </w:r>
      <w:r>
        <w:rPr>
          <w:color w:val="auto"/>
          <w:kern w:val="0"/>
          <w:szCs w:val="21"/>
          <w:highlight w:val="none"/>
          <w:u w:val="single"/>
        </w:rPr>
        <w:t xml:space="preserve">            公司名称              </w:t>
      </w:r>
      <w:r>
        <w:rPr>
          <w:color w:val="auto"/>
          <w:kern w:val="0"/>
          <w:szCs w:val="21"/>
          <w:highlight w:val="none"/>
        </w:rPr>
        <w:t>）提供的货物（或工程、服务）进行了验收，验收情况如下：</w:t>
      </w:r>
    </w:p>
    <w:tbl>
      <w:tblPr>
        <w:tblStyle w:val="4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27"/>
        <w:gridCol w:w="2294"/>
        <w:gridCol w:w="946"/>
        <w:gridCol w:w="2495"/>
        <w:gridCol w:w="205"/>
        <w:gridCol w:w="793"/>
        <w:gridCol w:w="1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center"/>
              <w:rPr>
                <w:color w:val="auto"/>
                <w:kern w:val="0"/>
                <w:szCs w:val="21"/>
                <w:highlight w:val="none"/>
              </w:rPr>
            </w:pPr>
            <w:r>
              <w:rPr>
                <w:color w:val="auto"/>
                <w:kern w:val="0"/>
                <w:szCs w:val="21"/>
                <w:highlight w:val="none"/>
              </w:rPr>
              <w:t>验收方式：</w:t>
            </w:r>
          </w:p>
        </w:tc>
        <w:tc>
          <w:tcPr>
            <w:tcW w:w="5806" w:type="dxa"/>
            <w:gridSpan w:val="5"/>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center"/>
              <w:rPr>
                <w:color w:val="auto"/>
                <w:kern w:val="0"/>
                <w:szCs w:val="21"/>
                <w:highlight w:val="none"/>
              </w:rPr>
            </w:pPr>
            <w:r>
              <w:rPr>
                <w:color w:val="auto"/>
                <w:kern w:val="0"/>
                <w:szCs w:val="21"/>
                <w:highlight w:val="none"/>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color w:val="auto"/>
                <w:kern w:val="0"/>
                <w:szCs w:val="21"/>
                <w:highlight w:val="none"/>
              </w:rPr>
            </w:pPr>
            <w:r>
              <w:rPr>
                <w:color w:val="auto"/>
                <w:kern w:val="0"/>
                <w:szCs w:val="21"/>
                <w:highlight w:val="none"/>
              </w:rPr>
              <w:t>序号</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货物型号规格、标准及配置等（或服务内容、标准）</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jc w:val="center"/>
              <w:rPr>
                <w:color w:val="auto"/>
                <w:kern w:val="0"/>
                <w:szCs w:val="21"/>
                <w:highlight w:val="none"/>
              </w:rPr>
            </w:pPr>
            <w:r>
              <w:rPr>
                <w:color w:val="auto"/>
                <w:kern w:val="0"/>
                <w:szCs w:val="21"/>
                <w:highlight w:val="none"/>
              </w:rPr>
              <w:t>数量</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color w:val="auto"/>
                <w:kern w:val="0"/>
                <w:szCs w:val="21"/>
                <w:highlight w:val="none"/>
              </w:rPr>
            </w:pPr>
            <w:r>
              <w:rPr>
                <w:color w:val="auto"/>
                <w:kern w:val="0"/>
                <w:szCs w:val="21"/>
                <w:highlight w:val="none"/>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color w:val="auto"/>
                <w:kern w:val="0"/>
                <w:szCs w:val="21"/>
                <w:highlight w:val="none"/>
              </w:rPr>
            </w:pPr>
            <w:r>
              <w:rPr>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2294"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3441"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20" w:firstLineChars="200"/>
              <w:jc w:val="left"/>
              <w:rPr>
                <w:color w:val="auto"/>
                <w:kern w:val="0"/>
                <w:szCs w:val="21"/>
                <w:highlight w:val="none"/>
              </w:rPr>
            </w:pPr>
            <w:r>
              <w:rPr>
                <w:color w:val="auto"/>
                <w:kern w:val="0"/>
                <w:szCs w:val="21"/>
                <w:highlight w:val="none"/>
              </w:rPr>
              <w:t> </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4" w:firstLineChars="2"/>
              <w:jc w:val="left"/>
              <w:rPr>
                <w:color w:val="auto"/>
                <w:kern w:val="0"/>
                <w:szCs w:val="21"/>
                <w:highlight w:val="none"/>
              </w:rPr>
            </w:pPr>
            <w:r>
              <w:rPr>
                <w:color w:val="auto"/>
                <w:kern w:val="0"/>
                <w:szCs w:val="21"/>
                <w:highlight w:val="none"/>
              </w:rPr>
              <w:t>合        计</w:t>
            </w:r>
          </w:p>
        </w:tc>
        <w:tc>
          <w:tcPr>
            <w:tcW w:w="998"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c>
          <w:tcPr>
            <w:tcW w:w="136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420" w:firstLineChars="200"/>
              <w:jc w:val="left"/>
              <w:rPr>
                <w:color w:val="auto"/>
                <w:kern w:val="0"/>
                <w:szCs w:val="21"/>
                <w:highlight w:val="none"/>
              </w:rPr>
            </w:pPr>
            <w:r>
              <w:rPr>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color w:val="auto"/>
                <w:kern w:val="0"/>
                <w:szCs w:val="21"/>
                <w:highlight w:val="none"/>
              </w:rPr>
            </w:pPr>
            <w:r>
              <w:rPr>
                <w:color w:val="auto"/>
                <w:kern w:val="0"/>
                <w:szCs w:val="21"/>
                <w:highlight w:val="none"/>
              </w:rPr>
              <w:t>实际供货日期</w:t>
            </w:r>
          </w:p>
        </w:tc>
        <w:tc>
          <w:tcPr>
            <w:tcW w:w="324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color w:val="auto"/>
                <w:kern w:val="0"/>
                <w:szCs w:val="21"/>
                <w:highlight w:val="none"/>
              </w:rPr>
            </w:pPr>
          </w:p>
        </w:tc>
        <w:tc>
          <w:tcPr>
            <w:tcW w:w="270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39" w:firstLineChars="19"/>
              <w:jc w:val="center"/>
              <w:rPr>
                <w:color w:val="auto"/>
                <w:kern w:val="0"/>
                <w:szCs w:val="21"/>
                <w:highlight w:val="none"/>
              </w:rPr>
            </w:pPr>
            <w:r>
              <w:rPr>
                <w:color w:val="auto"/>
                <w:kern w:val="0"/>
                <w:szCs w:val="21"/>
                <w:highlight w:val="none"/>
              </w:rPr>
              <w:t>合同交货验收日期</w:t>
            </w:r>
          </w:p>
        </w:tc>
        <w:tc>
          <w:tcPr>
            <w:tcW w:w="2160" w:type="dxa"/>
            <w:gridSpan w:val="2"/>
            <w:tcBorders>
              <w:top w:val="single" w:color="auto" w:sz="8" w:space="0"/>
              <w:left w:val="single" w:color="auto" w:sz="8" w:space="0"/>
              <w:bottom w:val="single" w:color="auto" w:sz="8" w:space="0"/>
              <w:right w:val="single" w:color="auto" w:sz="8" w:space="0"/>
            </w:tcBorders>
            <w:vAlign w:val="center"/>
          </w:tcPr>
          <w:p>
            <w:pPr>
              <w:snapToGrid w:val="0"/>
              <w:spacing w:before="100" w:beforeAutospacing="1" w:after="100" w:afterAutospacing="1" w:line="320" w:lineRule="exact"/>
              <w:ind w:firstLine="420" w:firstLineChars="200"/>
              <w:jc w:val="left"/>
              <w:rPr>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highlight w:val="none"/>
              </w:rPr>
            </w:pPr>
            <w:r>
              <w:rPr>
                <w:color w:val="auto"/>
                <w:kern w:val="0"/>
                <w:szCs w:val="21"/>
                <w:highlight w:val="none"/>
              </w:rPr>
              <w:t>验收具体内容</w:t>
            </w:r>
          </w:p>
        </w:tc>
        <w:tc>
          <w:tcPr>
            <w:tcW w:w="8100" w:type="dxa"/>
            <w:gridSpan w:val="6"/>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exact"/>
              <w:jc w:val="left"/>
              <w:rPr>
                <w:color w:val="auto"/>
                <w:kern w:val="0"/>
                <w:szCs w:val="21"/>
                <w:highlight w:val="none"/>
              </w:rPr>
            </w:pPr>
            <w:r>
              <w:rPr>
                <w:color w:val="auto"/>
                <w:szCs w:val="21"/>
                <w:highlight w:val="none"/>
              </w:rPr>
              <w:t>（应</w:t>
            </w:r>
            <w:r>
              <w:rPr>
                <w:color w:val="auto"/>
                <w:kern w:val="0"/>
                <w:szCs w:val="21"/>
                <w:highlight w:val="none"/>
              </w:rPr>
              <w:t>按采购合同、采购文件、响应文件及验收方案等进行验收；并核对</w:t>
            </w:r>
            <w:r>
              <w:rPr>
                <w:color w:val="auto"/>
                <w:szCs w:val="21"/>
                <w:highlight w:val="none"/>
              </w:rPr>
              <w:t>成交供应商在安装调试等方面是否违反合同约定或服务规范要求、提供的质量保证证明材料是否齐全、应有的配件及附件是否达到合同约定等</w:t>
            </w:r>
            <w:r>
              <w:rPr>
                <w:color w:val="auto"/>
                <w:kern w:val="0"/>
                <w:szCs w:val="21"/>
                <w:highlight w:val="none"/>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527"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验收小组意见</w:t>
            </w:r>
          </w:p>
        </w:tc>
        <w:tc>
          <w:tcPr>
            <w:tcW w:w="8100" w:type="dxa"/>
            <w:gridSpan w:val="6"/>
            <w:tcBorders>
              <w:top w:val="single" w:color="auto" w:sz="8" w:space="0"/>
              <w:left w:val="single" w:color="auto" w:sz="8" w:space="0"/>
              <w:bottom w:val="single" w:color="auto" w:sz="4" w:space="0"/>
              <w:right w:val="single" w:color="auto" w:sz="8" w:space="0"/>
            </w:tcBorders>
            <w:vAlign w:val="center"/>
          </w:tcPr>
          <w:p>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color w:val="auto"/>
                <w:kern w:val="0"/>
                <w:szCs w:val="21"/>
                <w:highlight w:val="none"/>
              </w:rPr>
            </w:pPr>
          </w:p>
        </w:tc>
        <w:tc>
          <w:tcPr>
            <w:tcW w:w="8100" w:type="dxa"/>
            <w:gridSpan w:val="6"/>
            <w:tcBorders>
              <w:top w:val="single" w:color="auto" w:sz="4" w:space="0"/>
              <w:left w:val="single" w:color="auto" w:sz="8" w:space="0"/>
              <w:bottom w:val="single" w:color="auto" w:sz="8" w:space="0"/>
              <w:right w:val="single" w:color="auto" w:sz="8" w:space="0"/>
            </w:tcBorders>
            <w:vAlign w:val="center"/>
          </w:tcPr>
          <w:p>
            <w:pPr>
              <w:spacing w:before="100" w:beforeAutospacing="1" w:after="100" w:afterAutospacing="1" w:line="320" w:lineRule="exact"/>
              <w:jc w:val="left"/>
              <w:rPr>
                <w:color w:val="auto"/>
                <w:kern w:val="0"/>
                <w:szCs w:val="21"/>
                <w:highlight w:val="none"/>
              </w:rPr>
            </w:pPr>
            <w:r>
              <w:rPr>
                <w:color w:val="auto"/>
                <w:kern w:val="0"/>
                <w:szCs w:val="21"/>
                <w:highlight w:val="none"/>
              </w:rPr>
              <w:t>有异议的意见和说明理由：</w:t>
            </w:r>
          </w:p>
          <w:p>
            <w:pPr>
              <w:spacing w:before="100" w:beforeAutospacing="1" w:after="100" w:afterAutospacing="1" w:line="320" w:lineRule="exact"/>
              <w:jc w:val="left"/>
              <w:rPr>
                <w:color w:val="auto"/>
                <w:kern w:val="0"/>
                <w:szCs w:val="21"/>
                <w:highlight w:val="none"/>
              </w:rPr>
            </w:pPr>
            <w:r>
              <w:rPr>
                <w:color w:val="auto"/>
                <w:kern w:val="0"/>
                <w:szCs w:val="21"/>
                <w:highlight w:val="none"/>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highlight w:val="none"/>
              </w:rPr>
            </w:pPr>
            <w:r>
              <w:rPr>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exact"/>
              <w:jc w:val="left"/>
              <w:rPr>
                <w:color w:val="auto"/>
                <w:kern w:val="0"/>
                <w:szCs w:val="21"/>
                <w:highlight w:val="none"/>
              </w:rPr>
            </w:pPr>
            <w:r>
              <w:rPr>
                <w:color w:val="auto"/>
                <w:kern w:val="0"/>
                <w:szCs w:val="21"/>
                <w:highlight w:val="none"/>
              </w:rPr>
              <w:t>监督人员或其他相关人员签字：</w:t>
            </w:r>
          </w:p>
          <w:p>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exact"/>
              <w:ind w:firstLine="65" w:firstLineChars="31"/>
              <w:jc w:val="left"/>
              <w:rPr>
                <w:color w:val="auto"/>
                <w:kern w:val="0"/>
                <w:szCs w:val="21"/>
                <w:highlight w:val="none"/>
              </w:rPr>
            </w:pPr>
            <w:r>
              <w:rPr>
                <w:color w:val="auto"/>
                <w:kern w:val="0"/>
                <w:szCs w:val="21"/>
                <w:highlight w:val="none"/>
              </w:rPr>
              <w:t>成交供应商负责人签名或盖章：</w:t>
            </w:r>
          </w:p>
          <w:p>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年 月 日</w:t>
            </w:r>
          </w:p>
        </w:tc>
        <w:tc>
          <w:tcPr>
            <w:tcW w:w="4860"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color w:val="auto"/>
                <w:kern w:val="0"/>
                <w:szCs w:val="21"/>
                <w:highlight w:val="none"/>
              </w:rPr>
            </w:pPr>
            <w:r>
              <w:rPr>
                <w:color w:val="auto"/>
                <w:kern w:val="0"/>
                <w:szCs w:val="21"/>
                <w:highlight w:val="none"/>
              </w:rPr>
              <w:t> 采购人或受托机构的意见（盖章）：</w:t>
            </w:r>
          </w:p>
          <w:p>
            <w:pPr>
              <w:widowControl/>
              <w:spacing w:before="100" w:beforeAutospacing="1" w:after="100" w:afterAutospacing="1" w:line="320" w:lineRule="exact"/>
              <w:jc w:val="left"/>
              <w:rPr>
                <w:color w:val="auto"/>
                <w:kern w:val="0"/>
                <w:szCs w:val="21"/>
                <w:highlight w:val="none"/>
              </w:rPr>
            </w:pPr>
            <w:r>
              <w:rPr>
                <w:color w:val="auto"/>
                <w:kern w:val="0"/>
                <w:szCs w:val="21"/>
                <w:highlight w:val="none"/>
              </w:rPr>
              <w:t>联系电话：                 年   月   日</w:t>
            </w:r>
          </w:p>
        </w:tc>
      </w:tr>
    </w:tbl>
    <w:p>
      <w:pPr>
        <w:widowControl/>
        <w:jc w:val="left"/>
        <w:rPr>
          <w:color w:val="auto"/>
          <w:spacing w:val="-10"/>
          <w:kern w:val="0"/>
          <w:szCs w:val="21"/>
          <w:highlight w:val="none"/>
        </w:rPr>
      </w:pPr>
      <w:r>
        <w:rPr>
          <w:color w:val="auto"/>
          <w:spacing w:val="-10"/>
          <w:kern w:val="0"/>
          <w:szCs w:val="21"/>
          <w:highlight w:val="none"/>
        </w:rPr>
        <w:t>备注：本报告单一式4份（采购单位1份、供应商1份、采购监督部门备案1份、采购代理机构1份）。</w:t>
      </w:r>
    </w:p>
    <w:p>
      <w:pPr>
        <w:spacing w:before="120" w:line="320" w:lineRule="atLeast"/>
        <w:jc w:val="left"/>
        <w:outlineLvl w:val="1"/>
        <w:rPr>
          <w:b/>
          <w:bCs/>
          <w:color w:val="auto"/>
          <w:kern w:val="0"/>
          <w:szCs w:val="21"/>
          <w:highlight w:val="none"/>
        </w:rPr>
      </w:pPr>
      <w:r>
        <w:rPr>
          <w:color w:val="auto"/>
          <w:highlight w:val="none"/>
        </w:rPr>
        <w:br w:type="page"/>
      </w:r>
      <w:r>
        <w:rPr>
          <w:b/>
          <w:bCs/>
          <w:color w:val="auto"/>
          <w:kern w:val="0"/>
          <w:szCs w:val="21"/>
          <w:highlight w:val="none"/>
        </w:rPr>
        <w:t>合同附件</w:t>
      </w:r>
      <w:r>
        <w:rPr>
          <w:rFonts w:hint="eastAsia"/>
          <w:b/>
          <w:bCs/>
          <w:color w:val="auto"/>
          <w:kern w:val="0"/>
          <w:szCs w:val="21"/>
          <w:highlight w:val="none"/>
        </w:rPr>
        <w:t>4</w:t>
      </w:r>
    </w:p>
    <w:p>
      <w:pPr>
        <w:snapToGrid w:val="0"/>
        <w:spacing w:line="360" w:lineRule="exact"/>
        <w:jc w:val="center"/>
        <w:rPr>
          <w:b/>
          <w:bCs/>
          <w:color w:val="auto"/>
          <w:szCs w:val="21"/>
          <w:highlight w:val="none"/>
        </w:rPr>
      </w:pPr>
      <w:r>
        <w:rPr>
          <w:b/>
          <w:bCs/>
          <w:color w:val="auto"/>
          <w:szCs w:val="21"/>
          <w:highlight w:val="none"/>
        </w:rPr>
        <w:t>履约保证金退付意见书</w:t>
      </w:r>
    </w:p>
    <w:tbl>
      <w:tblPr>
        <w:tblStyle w:val="4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pPr>
              <w:jc w:val="center"/>
              <w:rPr>
                <w:color w:val="auto"/>
                <w:szCs w:val="21"/>
                <w:highlight w:val="none"/>
              </w:rPr>
            </w:pPr>
            <w:r>
              <w:rPr>
                <w:color w:val="auto"/>
                <w:szCs w:val="21"/>
                <w:highlight w:val="none"/>
              </w:rPr>
              <w:t>供</w:t>
            </w:r>
          </w:p>
          <w:p>
            <w:pPr>
              <w:jc w:val="center"/>
              <w:rPr>
                <w:color w:val="auto"/>
                <w:szCs w:val="21"/>
                <w:highlight w:val="none"/>
              </w:rPr>
            </w:pPr>
            <w:r>
              <w:rPr>
                <w:color w:val="auto"/>
                <w:szCs w:val="21"/>
                <w:highlight w:val="none"/>
              </w:rPr>
              <w:t>应</w:t>
            </w:r>
          </w:p>
          <w:p>
            <w:pPr>
              <w:jc w:val="center"/>
              <w:rPr>
                <w:color w:val="auto"/>
                <w:szCs w:val="21"/>
                <w:highlight w:val="none"/>
              </w:rPr>
            </w:pPr>
            <w:r>
              <w:rPr>
                <w:color w:val="auto"/>
                <w:szCs w:val="21"/>
                <w:highlight w:val="none"/>
              </w:rPr>
              <w:t>商</w:t>
            </w:r>
          </w:p>
          <w:p>
            <w:pPr>
              <w:jc w:val="center"/>
              <w:rPr>
                <w:color w:val="auto"/>
                <w:szCs w:val="21"/>
                <w:highlight w:val="none"/>
              </w:rPr>
            </w:pPr>
            <w:r>
              <w:rPr>
                <w:color w:val="auto"/>
                <w:szCs w:val="21"/>
                <w:highlight w:val="none"/>
              </w:rPr>
              <w:t>申</w:t>
            </w:r>
          </w:p>
          <w:p>
            <w:pPr>
              <w:jc w:val="center"/>
              <w:rPr>
                <w:color w:val="auto"/>
                <w:szCs w:val="21"/>
                <w:highlight w:val="none"/>
              </w:rPr>
            </w:pPr>
            <w:r>
              <w:rPr>
                <w:color w:val="auto"/>
                <w:szCs w:val="21"/>
                <w:highlight w:val="none"/>
              </w:rPr>
              <w:t>请</w:t>
            </w:r>
          </w:p>
        </w:tc>
        <w:tc>
          <w:tcPr>
            <w:tcW w:w="8640" w:type="dxa"/>
            <w:vAlign w:val="center"/>
          </w:tcPr>
          <w:p>
            <w:pPr>
              <w:rPr>
                <w:color w:val="auto"/>
                <w:szCs w:val="21"/>
                <w:highlight w:val="none"/>
              </w:rPr>
            </w:pPr>
            <w:r>
              <w:rPr>
                <w:color w:val="auto"/>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pPr>
              <w:rPr>
                <w:color w:val="auto"/>
                <w:szCs w:val="21"/>
                <w:highlight w:val="none"/>
              </w:rPr>
            </w:pPr>
          </w:p>
        </w:tc>
        <w:tc>
          <w:tcPr>
            <w:tcW w:w="8640" w:type="dxa"/>
            <w:vAlign w:val="center"/>
          </w:tcPr>
          <w:p>
            <w:pPr>
              <w:rPr>
                <w:color w:val="auto"/>
                <w:szCs w:val="21"/>
                <w:highlight w:val="none"/>
              </w:rPr>
            </w:pPr>
            <w:r>
              <w:rPr>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color w:val="auto"/>
                <w:szCs w:val="21"/>
                <w:highlight w:val="none"/>
              </w:rPr>
            </w:pPr>
          </w:p>
        </w:tc>
        <w:tc>
          <w:tcPr>
            <w:tcW w:w="8640" w:type="dxa"/>
          </w:tcPr>
          <w:p>
            <w:pPr>
              <w:rPr>
                <w:color w:val="auto"/>
                <w:szCs w:val="21"/>
                <w:highlight w:val="none"/>
              </w:rPr>
            </w:pP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该项目已于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日验收并交付使用。根据合同规定，该项目的履约保证金期限于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日已满，请将履约保证金</w:t>
            </w:r>
          </w:p>
          <w:p>
            <w:pPr>
              <w:spacing w:line="400" w:lineRule="exact"/>
              <w:rPr>
                <w:color w:val="auto"/>
                <w:szCs w:val="21"/>
                <w:highlight w:val="none"/>
              </w:rPr>
            </w:pPr>
            <w:r>
              <w:rPr>
                <w:color w:val="auto"/>
                <w:szCs w:val="21"/>
                <w:highlight w:val="none"/>
                <w:u w:val="single"/>
              </w:rPr>
              <w:t xml:space="preserve">                                        </w:t>
            </w:r>
            <w:r>
              <w:rPr>
                <w:color w:val="auto"/>
                <w:szCs w:val="21"/>
                <w:highlight w:val="none"/>
              </w:rPr>
              <w:t>（大写）¥</w:t>
            </w:r>
            <w:r>
              <w:rPr>
                <w:color w:val="auto"/>
                <w:szCs w:val="21"/>
                <w:highlight w:val="none"/>
                <w:u w:val="single"/>
              </w:rPr>
              <w:t xml:space="preserve">          </w:t>
            </w:r>
            <w:r>
              <w:rPr>
                <w:color w:val="auto"/>
                <w:szCs w:val="21"/>
                <w:highlight w:val="none"/>
              </w:rPr>
              <w:t>（小写）退付到达以下账户。</w:t>
            </w:r>
          </w:p>
          <w:p>
            <w:pPr>
              <w:spacing w:line="400" w:lineRule="exact"/>
              <w:ind w:firstLine="705"/>
              <w:rPr>
                <w:color w:val="auto"/>
                <w:szCs w:val="21"/>
                <w:highlight w:val="none"/>
              </w:rPr>
            </w:pPr>
            <w:r>
              <w:rPr>
                <w:color w:val="auto"/>
                <w:szCs w:val="21"/>
                <w:highlight w:val="none"/>
              </w:rPr>
              <w:t>单位名称：</w:t>
            </w:r>
          </w:p>
          <w:p>
            <w:pPr>
              <w:spacing w:line="400" w:lineRule="exact"/>
              <w:ind w:firstLine="705"/>
              <w:rPr>
                <w:color w:val="auto"/>
                <w:szCs w:val="21"/>
                <w:highlight w:val="none"/>
              </w:rPr>
            </w:pPr>
            <w:r>
              <w:rPr>
                <w:color w:val="auto"/>
                <w:szCs w:val="21"/>
                <w:highlight w:val="none"/>
              </w:rPr>
              <w:t>开户银行：</w:t>
            </w:r>
          </w:p>
          <w:p>
            <w:pPr>
              <w:spacing w:line="400" w:lineRule="exact"/>
              <w:ind w:firstLine="705"/>
              <w:rPr>
                <w:color w:val="auto"/>
                <w:szCs w:val="21"/>
                <w:highlight w:val="none"/>
              </w:rPr>
            </w:pPr>
            <w:r>
              <w:rPr>
                <w:color w:val="auto"/>
                <w:szCs w:val="21"/>
                <w:highlight w:val="none"/>
              </w:rPr>
              <w:t>账   号：</w:t>
            </w:r>
          </w:p>
          <w:p>
            <w:pPr>
              <w:spacing w:line="400" w:lineRule="exact"/>
              <w:rPr>
                <w:color w:val="auto"/>
                <w:szCs w:val="21"/>
                <w:highlight w:val="none"/>
              </w:rPr>
            </w:pPr>
            <w:r>
              <w:rPr>
                <w:color w:val="auto"/>
                <w:szCs w:val="21"/>
                <w:highlight w:val="none"/>
              </w:rPr>
              <w:t>联系人及电话：</w:t>
            </w:r>
          </w:p>
          <w:p>
            <w:pPr>
              <w:spacing w:line="400" w:lineRule="exact"/>
              <w:rPr>
                <w:color w:val="auto"/>
                <w:szCs w:val="21"/>
                <w:highlight w:val="none"/>
              </w:rPr>
            </w:pPr>
          </w:p>
          <w:p>
            <w:pPr>
              <w:spacing w:line="520" w:lineRule="exact"/>
              <w:jc w:val="center"/>
              <w:rPr>
                <w:color w:val="auto"/>
                <w:szCs w:val="21"/>
                <w:highlight w:val="none"/>
              </w:rPr>
            </w:pPr>
            <w:r>
              <w:rPr>
                <w:color w:val="auto"/>
                <w:szCs w:val="21"/>
                <w:highlight w:val="none"/>
              </w:rPr>
              <w:t xml:space="preserve">                                     供应商签章：</w:t>
            </w:r>
          </w:p>
          <w:p>
            <w:pPr>
              <w:spacing w:line="520" w:lineRule="exact"/>
              <w:jc w:val="center"/>
              <w:rPr>
                <w:color w:val="auto"/>
                <w:szCs w:val="21"/>
                <w:highlight w:val="none"/>
              </w:rPr>
            </w:pPr>
            <w:r>
              <w:rPr>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highlight w:val="none"/>
              </w:rPr>
            </w:pPr>
            <w:r>
              <w:rPr>
                <w:color w:val="auto"/>
                <w:szCs w:val="21"/>
                <w:highlight w:val="none"/>
              </w:rPr>
              <w:t>采</w:t>
            </w:r>
          </w:p>
          <w:p>
            <w:pPr>
              <w:jc w:val="center"/>
              <w:rPr>
                <w:color w:val="auto"/>
                <w:szCs w:val="21"/>
                <w:highlight w:val="none"/>
              </w:rPr>
            </w:pPr>
            <w:r>
              <w:rPr>
                <w:color w:val="auto"/>
                <w:szCs w:val="21"/>
                <w:highlight w:val="none"/>
              </w:rPr>
              <w:t>购</w:t>
            </w:r>
          </w:p>
          <w:p>
            <w:pPr>
              <w:jc w:val="center"/>
              <w:rPr>
                <w:color w:val="auto"/>
                <w:szCs w:val="21"/>
                <w:highlight w:val="none"/>
              </w:rPr>
            </w:pPr>
            <w:r>
              <w:rPr>
                <w:color w:val="auto"/>
                <w:szCs w:val="21"/>
                <w:highlight w:val="none"/>
              </w:rPr>
              <w:t>单</w:t>
            </w:r>
          </w:p>
          <w:p>
            <w:pPr>
              <w:jc w:val="center"/>
              <w:rPr>
                <w:color w:val="auto"/>
                <w:szCs w:val="21"/>
                <w:highlight w:val="none"/>
              </w:rPr>
            </w:pPr>
            <w:r>
              <w:rPr>
                <w:color w:val="auto"/>
                <w:szCs w:val="21"/>
                <w:highlight w:val="none"/>
              </w:rPr>
              <w:t>位</w:t>
            </w:r>
          </w:p>
          <w:p>
            <w:pPr>
              <w:jc w:val="center"/>
              <w:rPr>
                <w:color w:val="auto"/>
                <w:szCs w:val="21"/>
                <w:highlight w:val="none"/>
              </w:rPr>
            </w:pPr>
            <w:r>
              <w:rPr>
                <w:color w:val="auto"/>
                <w:szCs w:val="21"/>
                <w:highlight w:val="none"/>
              </w:rPr>
              <w:t>意</w:t>
            </w:r>
          </w:p>
          <w:p>
            <w:pPr>
              <w:jc w:val="center"/>
              <w:rPr>
                <w:color w:val="auto"/>
                <w:szCs w:val="21"/>
                <w:highlight w:val="none"/>
              </w:rPr>
            </w:pPr>
            <w:r>
              <w:rPr>
                <w:color w:val="auto"/>
                <w:szCs w:val="21"/>
                <w:highlight w:val="none"/>
              </w:rPr>
              <w:t>见</w:t>
            </w:r>
          </w:p>
        </w:tc>
        <w:tc>
          <w:tcPr>
            <w:tcW w:w="8640" w:type="dxa"/>
          </w:tcPr>
          <w:p>
            <w:pPr>
              <w:rPr>
                <w:color w:val="auto"/>
                <w:szCs w:val="21"/>
                <w:highlight w:val="none"/>
              </w:rPr>
            </w:pPr>
          </w:p>
          <w:p>
            <w:pPr>
              <w:rPr>
                <w:color w:val="auto"/>
                <w:szCs w:val="21"/>
                <w:highlight w:val="none"/>
              </w:rPr>
            </w:pPr>
            <w:r>
              <w:rPr>
                <w:color w:val="auto"/>
                <w:szCs w:val="21"/>
                <w:highlight w:val="none"/>
              </w:rPr>
              <w:t>退付意见：是否同意退付履约保证金及退付金额：</w:t>
            </w:r>
          </w:p>
          <w:p>
            <w:pPr>
              <w:rPr>
                <w:color w:val="auto"/>
                <w:szCs w:val="21"/>
                <w:highlight w:val="none"/>
              </w:rPr>
            </w:pPr>
          </w:p>
          <w:p>
            <w:pPr>
              <w:rPr>
                <w:color w:val="auto"/>
                <w:szCs w:val="21"/>
                <w:highlight w:val="none"/>
              </w:rPr>
            </w:pPr>
          </w:p>
          <w:p>
            <w:pPr>
              <w:spacing w:line="520" w:lineRule="exact"/>
              <w:rPr>
                <w:color w:val="auto"/>
                <w:szCs w:val="21"/>
                <w:highlight w:val="none"/>
              </w:rPr>
            </w:pPr>
            <w:r>
              <w:rPr>
                <w:color w:val="auto"/>
                <w:szCs w:val="21"/>
                <w:highlight w:val="none"/>
              </w:rPr>
              <w:t>联系人及电话：                                 采购单位签章</w:t>
            </w:r>
          </w:p>
          <w:p>
            <w:pPr>
              <w:spacing w:line="520" w:lineRule="exact"/>
              <w:jc w:val="center"/>
              <w:rPr>
                <w:color w:val="auto"/>
                <w:szCs w:val="21"/>
                <w:highlight w:val="none"/>
              </w:rPr>
            </w:pPr>
            <w:r>
              <w:rPr>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color w:val="auto"/>
                <w:szCs w:val="21"/>
                <w:highlight w:val="none"/>
              </w:rPr>
            </w:pPr>
            <w:r>
              <w:rPr>
                <w:color w:val="auto"/>
                <w:szCs w:val="21"/>
                <w:highlight w:val="none"/>
              </w:rPr>
              <w:t>财</w:t>
            </w:r>
          </w:p>
          <w:p>
            <w:pPr>
              <w:jc w:val="center"/>
              <w:rPr>
                <w:color w:val="auto"/>
                <w:szCs w:val="21"/>
                <w:highlight w:val="none"/>
              </w:rPr>
            </w:pPr>
            <w:r>
              <w:rPr>
                <w:color w:val="auto"/>
                <w:szCs w:val="21"/>
                <w:highlight w:val="none"/>
              </w:rPr>
              <w:t>务</w:t>
            </w:r>
          </w:p>
          <w:p>
            <w:pPr>
              <w:jc w:val="center"/>
              <w:rPr>
                <w:color w:val="auto"/>
                <w:szCs w:val="21"/>
                <w:highlight w:val="none"/>
              </w:rPr>
            </w:pPr>
            <w:r>
              <w:rPr>
                <w:color w:val="auto"/>
                <w:szCs w:val="21"/>
                <w:highlight w:val="none"/>
              </w:rPr>
              <w:t>部</w:t>
            </w:r>
          </w:p>
          <w:p>
            <w:pPr>
              <w:jc w:val="center"/>
              <w:rPr>
                <w:color w:val="auto"/>
                <w:szCs w:val="21"/>
                <w:highlight w:val="none"/>
              </w:rPr>
            </w:pPr>
            <w:r>
              <w:rPr>
                <w:color w:val="auto"/>
                <w:szCs w:val="21"/>
                <w:highlight w:val="none"/>
              </w:rPr>
              <w:t>门</w:t>
            </w:r>
          </w:p>
          <w:p>
            <w:pPr>
              <w:jc w:val="center"/>
              <w:rPr>
                <w:color w:val="auto"/>
                <w:szCs w:val="21"/>
                <w:highlight w:val="none"/>
              </w:rPr>
            </w:pPr>
            <w:r>
              <w:rPr>
                <w:color w:val="auto"/>
                <w:szCs w:val="21"/>
                <w:highlight w:val="none"/>
              </w:rPr>
              <w:t>意</w:t>
            </w:r>
          </w:p>
          <w:p>
            <w:pPr>
              <w:jc w:val="center"/>
              <w:rPr>
                <w:color w:val="auto"/>
                <w:szCs w:val="21"/>
                <w:highlight w:val="none"/>
              </w:rPr>
            </w:pPr>
            <w:r>
              <w:rPr>
                <w:color w:val="auto"/>
                <w:szCs w:val="21"/>
                <w:highlight w:val="none"/>
              </w:rPr>
              <w:t>见</w:t>
            </w:r>
          </w:p>
        </w:tc>
        <w:tc>
          <w:tcPr>
            <w:tcW w:w="8640" w:type="dxa"/>
          </w:tcPr>
          <w:p>
            <w:pPr>
              <w:spacing w:line="640" w:lineRule="exact"/>
              <w:rPr>
                <w:color w:val="auto"/>
                <w:szCs w:val="21"/>
                <w:highlight w:val="none"/>
              </w:rPr>
            </w:pPr>
            <w:r>
              <w:rPr>
                <w:color w:val="auto"/>
                <w:szCs w:val="21"/>
                <w:highlight w:val="none"/>
              </w:rPr>
              <w:t>此表于</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 xml:space="preserve"> 月 </w:t>
            </w:r>
            <w:r>
              <w:rPr>
                <w:color w:val="auto"/>
                <w:szCs w:val="21"/>
                <w:highlight w:val="none"/>
                <w:u w:val="single"/>
              </w:rPr>
              <w:t xml:space="preserve">   </w:t>
            </w:r>
            <w:r>
              <w:rPr>
                <w:color w:val="auto"/>
                <w:szCs w:val="21"/>
                <w:highlight w:val="none"/>
              </w:rPr>
              <w:t xml:space="preserve"> 日收到。</w:t>
            </w:r>
          </w:p>
          <w:p>
            <w:pPr>
              <w:spacing w:line="640" w:lineRule="exact"/>
              <w:rPr>
                <w:color w:val="auto"/>
                <w:szCs w:val="21"/>
                <w:highlight w:val="none"/>
              </w:rPr>
            </w:pPr>
            <w:r>
              <w:rPr>
                <w:color w:val="auto"/>
                <w:szCs w:val="21"/>
                <w:highlight w:val="none"/>
              </w:rPr>
              <w:t>会计审核：</w:t>
            </w:r>
          </w:p>
          <w:p>
            <w:pPr>
              <w:spacing w:line="640" w:lineRule="exact"/>
              <w:rPr>
                <w:color w:val="auto"/>
                <w:szCs w:val="21"/>
                <w:highlight w:val="none"/>
              </w:rPr>
            </w:pPr>
            <w:r>
              <w:rPr>
                <w:color w:val="auto"/>
                <w:szCs w:val="21"/>
                <w:highlight w:val="none"/>
              </w:rPr>
              <w:t>财务负责人审核：</w:t>
            </w:r>
          </w:p>
          <w:p>
            <w:pPr>
              <w:spacing w:line="640" w:lineRule="exact"/>
              <w:rPr>
                <w:color w:val="auto"/>
                <w:szCs w:val="21"/>
                <w:highlight w:val="none"/>
              </w:rPr>
            </w:pPr>
            <w:r>
              <w:rPr>
                <w:color w:val="auto"/>
                <w:szCs w:val="21"/>
                <w:highlight w:val="none"/>
              </w:rPr>
              <w:t>单位负责人签字：</w:t>
            </w:r>
          </w:p>
          <w:p>
            <w:pPr>
              <w:spacing w:line="640" w:lineRule="exact"/>
              <w:rPr>
                <w:color w:val="auto"/>
                <w:szCs w:val="21"/>
                <w:highlight w:val="none"/>
              </w:rPr>
            </w:pPr>
            <w:r>
              <w:rPr>
                <w:color w:val="auto"/>
                <w:szCs w:val="21"/>
                <w:highlight w:val="none"/>
              </w:rPr>
              <w:t>出纳办理转账日期：</w:t>
            </w:r>
          </w:p>
        </w:tc>
      </w:tr>
    </w:tbl>
    <w:p>
      <w:pPr>
        <w:pStyle w:val="18"/>
        <w:ind w:left="450" w:leftChars="114" w:hanging="211" w:hangingChars="100"/>
        <w:rPr>
          <w:b/>
          <w:bCs/>
          <w:color w:val="auto"/>
          <w:sz w:val="21"/>
          <w:szCs w:val="21"/>
          <w:highlight w:val="none"/>
        </w:rPr>
      </w:pPr>
    </w:p>
    <w:p>
      <w:pPr>
        <w:pStyle w:val="18"/>
        <w:ind w:left="450" w:leftChars="114" w:hanging="211" w:hangingChars="100"/>
        <w:rPr>
          <w:b/>
          <w:bCs/>
          <w:color w:val="auto"/>
          <w:sz w:val="21"/>
          <w:szCs w:val="21"/>
          <w:highlight w:val="none"/>
        </w:rPr>
      </w:pPr>
    </w:p>
    <w:p>
      <w:pPr>
        <w:pStyle w:val="18"/>
        <w:ind w:left="450" w:leftChars="114" w:hanging="211" w:hangingChars="100"/>
        <w:rPr>
          <w:b/>
          <w:bCs/>
          <w:color w:val="auto"/>
          <w:sz w:val="21"/>
          <w:szCs w:val="21"/>
          <w:highlight w:val="none"/>
        </w:rPr>
      </w:pPr>
    </w:p>
    <w:p>
      <w:pPr>
        <w:rPr>
          <w:b/>
          <w:bCs/>
          <w:color w:val="auto"/>
          <w:kern w:val="0"/>
          <w:szCs w:val="21"/>
          <w:highlight w:val="none"/>
        </w:rPr>
      </w:pPr>
      <w:r>
        <w:rPr>
          <w:rFonts w:hint="eastAsia"/>
          <w:b/>
          <w:bCs/>
          <w:color w:val="auto"/>
          <w:kern w:val="0"/>
          <w:szCs w:val="21"/>
          <w:highlight w:val="none"/>
        </w:rPr>
        <w:br w:type="page"/>
      </w:r>
    </w:p>
    <w:p>
      <w:pPr>
        <w:spacing w:before="120" w:line="320" w:lineRule="atLeast"/>
        <w:jc w:val="left"/>
        <w:outlineLvl w:val="1"/>
        <w:rPr>
          <w:b/>
          <w:bCs/>
          <w:color w:val="auto"/>
          <w:kern w:val="0"/>
          <w:szCs w:val="21"/>
          <w:highlight w:val="none"/>
        </w:rPr>
      </w:pPr>
      <w:r>
        <w:rPr>
          <w:rFonts w:hint="eastAsia"/>
          <w:b/>
          <w:bCs/>
          <w:color w:val="auto"/>
          <w:kern w:val="0"/>
          <w:szCs w:val="21"/>
          <w:highlight w:val="none"/>
        </w:rPr>
        <w:t>合</w:t>
      </w:r>
      <w:r>
        <w:rPr>
          <w:b/>
          <w:bCs/>
          <w:color w:val="auto"/>
          <w:kern w:val="0"/>
          <w:szCs w:val="21"/>
          <w:highlight w:val="none"/>
        </w:rPr>
        <w:t>同附件5</w:t>
      </w:r>
    </w:p>
    <w:p>
      <w:pPr>
        <w:snapToGrid w:val="0"/>
        <w:spacing w:line="360" w:lineRule="exact"/>
        <w:jc w:val="center"/>
        <w:rPr>
          <w:b/>
          <w:bCs/>
          <w:color w:val="auto"/>
          <w:szCs w:val="21"/>
          <w:highlight w:val="none"/>
        </w:rPr>
      </w:pPr>
    </w:p>
    <w:p>
      <w:pPr>
        <w:snapToGrid w:val="0"/>
        <w:spacing w:line="360" w:lineRule="exact"/>
        <w:jc w:val="center"/>
        <w:rPr>
          <w:b/>
          <w:bCs/>
          <w:color w:val="auto"/>
          <w:szCs w:val="21"/>
          <w:highlight w:val="none"/>
        </w:rPr>
      </w:pPr>
      <w:bookmarkStart w:id="32" w:name="_Hlk77607667"/>
      <w:r>
        <w:rPr>
          <w:b/>
          <w:bCs/>
          <w:color w:val="auto"/>
          <w:szCs w:val="21"/>
          <w:highlight w:val="none"/>
        </w:rPr>
        <w:t>履约</w:t>
      </w:r>
      <w:r>
        <w:rPr>
          <w:rFonts w:hint="eastAsia"/>
          <w:b/>
          <w:bCs/>
          <w:color w:val="auto"/>
          <w:szCs w:val="21"/>
          <w:highlight w:val="none"/>
        </w:rPr>
        <w:t>验收方案</w:t>
      </w:r>
    </w:p>
    <w:p>
      <w:pPr>
        <w:widowControl/>
        <w:jc w:val="left"/>
        <w:rPr>
          <w:color w:val="auto"/>
          <w:szCs w:val="21"/>
          <w:highlight w:val="none"/>
        </w:rPr>
      </w:pPr>
    </w:p>
    <w:p>
      <w:pPr>
        <w:pStyle w:val="174"/>
        <w:ind w:firstLineChars="0"/>
        <w:rPr>
          <w:rFonts w:ascii="Times New Roman" w:hAnsi="Times New Roman" w:eastAsia="宋体"/>
          <w:color w:val="auto"/>
          <w:kern w:val="2"/>
          <w:sz w:val="21"/>
          <w:szCs w:val="21"/>
          <w:highlight w:val="none"/>
        </w:rPr>
      </w:pPr>
    </w:p>
    <w:p>
      <w:pPr>
        <w:pStyle w:val="174"/>
        <w:ind w:firstLineChars="0"/>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1.</w:t>
      </w:r>
      <w:r>
        <w:rPr>
          <w:rFonts w:hint="eastAsia" w:ascii="Times New Roman" w:hAnsi="Times New Roman" w:eastAsia="宋体"/>
          <w:color w:val="auto"/>
          <w:kern w:val="2"/>
          <w:sz w:val="21"/>
          <w:szCs w:val="21"/>
          <w:highlight w:val="none"/>
        </w:rPr>
        <w:t>履约验收方式</w:t>
      </w:r>
    </w:p>
    <w:p>
      <w:pPr>
        <w:pStyle w:val="174"/>
        <w:ind w:firstLineChars="0"/>
        <w:rPr>
          <w:rFonts w:ascii="Times New Roman" w:hAnsi="Times New Roman" w:eastAsia="宋体"/>
          <w:color w:val="auto"/>
          <w:kern w:val="2"/>
          <w:sz w:val="21"/>
          <w:szCs w:val="21"/>
          <w:highlight w:val="none"/>
          <w:u w:val="single"/>
        </w:rPr>
      </w:pPr>
      <w:r>
        <w:rPr>
          <w:rFonts w:hint="eastAsia" w:ascii="Times New Roman" w:hAnsi="Times New Roman" w:eastAsia="宋体"/>
          <w:color w:val="auto"/>
          <w:kern w:val="2"/>
          <w:sz w:val="21"/>
          <w:szCs w:val="21"/>
          <w:highlight w:val="none"/>
        </w:rPr>
        <w:t>（1）实施主体：</w:t>
      </w:r>
    </w:p>
    <w:p>
      <w:pPr>
        <w:pStyle w:val="174"/>
        <w:ind w:firstLine="220" w:firstLineChars="100"/>
        <w:rPr>
          <w:rFonts w:ascii="Times New Roman" w:hAnsi="Times New Roman" w:eastAsia="宋体"/>
          <w:color w:val="auto"/>
          <w:kern w:val="2"/>
          <w:sz w:val="21"/>
          <w:szCs w:val="21"/>
          <w:highlight w:val="none"/>
        </w:rPr>
      </w:pPr>
      <w:r>
        <w:rPr>
          <w:color w:val="auto"/>
          <w:sz w:val="22"/>
          <w:szCs w:val="18"/>
          <w:highlight w:val="none"/>
        </w:rPr>
        <w:sym w:font="Wingdings 2" w:char="F052"/>
      </w:r>
      <w:r>
        <w:rPr>
          <w:rFonts w:hint="eastAsia" w:ascii="Times New Roman" w:hAnsi="Times New Roman" w:eastAsia="宋体"/>
          <w:color w:val="auto"/>
          <w:kern w:val="2"/>
          <w:sz w:val="21"/>
          <w:szCs w:val="21"/>
          <w:highlight w:val="none"/>
        </w:rPr>
        <w:t>采购人自行实施</w:t>
      </w:r>
    </w:p>
    <w:p>
      <w:pPr>
        <w:pStyle w:val="174"/>
        <w:ind w:firstLine="199" w:firstLineChars="95"/>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□委托代理机构实施：</w:t>
      </w:r>
      <w:r>
        <w:rPr>
          <w:rFonts w:hint="eastAsia" w:ascii="Times New Roman" w:hAnsi="Times New Roman" w:eastAsia="宋体"/>
          <w:color w:val="auto"/>
          <w:kern w:val="2"/>
          <w:sz w:val="21"/>
          <w:szCs w:val="21"/>
          <w:highlight w:val="none"/>
          <w:u w:val="single"/>
        </w:rPr>
        <w:t xml:space="preserve"> （名称）</w:t>
      </w:r>
      <w:r>
        <w:rPr>
          <w:rFonts w:ascii="Times New Roman" w:hAnsi="Times New Roman" w:eastAsia="宋体"/>
          <w:color w:val="auto"/>
          <w:kern w:val="2"/>
          <w:sz w:val="21"/>
          <w:szCs w:val="21"/>
          <w:highlight w:val="none"/>
          <w:u w:val="single"/>
        </w:rPr>
        <w:t xml:space="preserve">  </w:t>
      </w:r>
      <w:r>
        <w:rPr>
          <w:rFonts w:ascii="Times New Roman" w:hAnsi="Times New Roman" w:eastAsia="宋体"/>
          <w:color w:val="auto"/>
          <w:kern w:val="2"/>
          <w:sz w:val="21"/>
          <w:szCs w:val="21"/>
          <w:highlight w:val="none"/>
        </w:rPr>
        <w:t xml:space="preserve">         </w:t>
      </w:r>
    </w:p>
    <w:p>
      <w:pPr>
        <w:pStyle w:val="174"/>
        <w:ind w:firstLine="199" w:firstLineChars="95"/>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□委托第三方机构实施：</w:t>
      </w:r>
      <w:r>
        <w:rPr>
          <w:rFonts w:hint="eastAsia" w:ascii="Times New Roman" w:hAnsi="Times New Roman" w:eastAsia="宋体"/>
          <w:color w:val="auto"/>
          <w:kern w:val="2"/>
          <w:sz w:val="21"/>
          <w:szCs w:val="21"/>
          <w:highlight w:val="none"/>
          <w:u w:val="single"/>
        </w:rPr>
        <w:t>（名称）</w:t>
      </w:r>
      <w:r>
        <w:rPr>
          <w:rFonts w:ascii="Times New Roman" w:hAnsi="Times New Roman" w:eastAsia="宋体"/>
          <w:color w:val="auto"/>
          <w:kern w:val="2"/>
          <w:sz w:val="21"/>
          <w:szCs w:val="21"/>
          <w:highlight w:val="none"/>
          <w:u w:val="single"/>
        </w:rPr>
        <w:t xml:space="preserve"> </w:t>
      </w:r>
      <w:r>
        <w:rPr>
          <w:rFonts w:ascii="Times New Roman" w:hAnsi="Times New Roman" w:eastAsia="宋体"/>
          <w:color w:val="auto"/>
          <w:kern w:val="2"/>
          <w:sz w:val="21"/>
          <w:szCs w:val="21"/>
          <w:highlight w:val="none"/>
        </w:rPr>
        <w:t xml:space="preserve">       </w:t>
      </w:r>
    </w:p>
    <w:p>
      <w:pPr>
        <w:pStyle w:val="174"/>
        <w:ind w:firstLineChars="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（2）履约验收参加人员：</w:t>
      </w:r>
    </w:p>
    <w:p>
      <w:pPr>
        <w:pStyle w:val="174"/>
        <w:ind w:firstLine="156" w:firstLineChars="71"/>
        <w:rPr>
          <w:rFonts w:ascii="Times New Roman" w:hAnsi="Times New Roman" w:eastAsia="宋体"/>
          <w:color w:val="auto"/>
          <w:kern w:val="2"/>
          <w:sz w:val="21"/>
          <w:szCs w:val="21"/>
          <w:highlight w:val="none"/>
        </w:rPr>
      </w:pPr>
      <w:r>
        <w:rPr>
          <w:color w:val="auto"/>
          <w:sz w:val="22"/>
          <w:szCs w:val="18"/>
          <w:highlight w:val="none"/>
        </w:rPr>
        <w:sym w:font="Wingdings 2" w:char="F052"/>
      </w:r>
      <w:r>
        <w:rPr>
          <w:rFonts w:hint="eastAsia" w:ascii="Times New Roman" w:hAnsi="Times New Roman" w:eastAsia="宋体"/>
          <w:color w:val="auto"/>
          <w:kern w:val="2"/>
          <w:sz w:val="21"/>
          <w:szCs w:val="21"/>
          <w:highlight w:val="none"/>
        </w:rPr>
        <w:t>采购人</w:t>
      </w:r>
    </w:p>
    <w:p>
      <w:pPr>
        <w:pStyle w:val="174"/>
        <w:ind w:firstLine="199" w:firstLineChars="95"/>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sym w:font="Wingdings 2" w:char="00A3"/>
      </w:r>
      <w:r>
        <w:rPr>
          <w:rFonts w:hint="eastAsia" w:ascii="Times New Roman" w:hAnsi="Times New Roman" w:eastAsia="宋体"/>
          <w:color w:val="auto"/>
          <w:kern w:val="2"/>
          <w:sz w:val="21"/>
          <w:szCs w:val="21"/>
          <w:highlight w:val="none"/>
        </w:rPr>
        <w:t>代理机构</w:t>
      </w:r>
    </w:p>
    <w:p>
      <w:pPr>
        <w:pStyle w:val="174"/>
        <w:ind w:firstLine="199" w:firstLineChars="95"/>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sym w:font="Wingdings 2" w:char="00A3"/>
      </w:r>
      <w:r>
        <w:rPr>
          <w:rFonts w:hint="eastAsia" w:ascii="Times New Roman" w:hAnsi="Times New Roman" w:eastAsia="宋体"/>
          <w:color w:val="auto"/>
          <w:kern w:val="2"/>
          <w:sz w:val="21"/>
          <w:szCs w:val="21"/>
          <w:highlight w:val="none"/>
        </w:rPr>
        <w:t>第三方机构</w:t>
      </w:r>
    </w:p>
    <w:p>
      <w:pPr>
        <w:pStyle w:val="174"/>
        <w:ind w:firstLine="210" w:firstLineChars="10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sym w:font="Wingdings 2" w:char="00A3"/>
      </w:r>
      <w:r>
        <w:rPr>
          <w:rFonts w:hint="eastAsia" w:ascii="Times New Roman" w:hAnsi="Times New Roman" w:eastAsia="宋体"/>
          <w:color w:val="auto"/>
          <w:kern w:val="2"/>
          <w:sz w:val="21"/>
          <w:szCs w:val="21"/>
          <w:highlight w:val="none"/>
        </w:rPr>
        <w:t>专家</w:t>
      </w:r>
    </w:p>
    <w:p>
      <w:pPr>
        <w:pStyle w:val="174"/>
        <w:ind w:firstLine="199" w:firstLineChars="95"/>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□其他供应商</w:t>
      </w:r>
    </w:p>
    <w:p>
      <w:pPr>
        <w:pStyle w:val="174"/>
        <w:ind w:firstLineChars="0"/>
        <w:rPr>
          <w:rFonts w:ascii="Times New Roman" w:hAnsi="Times New Roman" w:eastAsia="宋体"/>
          <w:color w:val="auto"/>
          <w:kern w:val="2"/>
          <w:sz w:val="21"/>
          <w:szCs w:val="21"/>
          <w:highlight w:val="none"/>
        </w:rPr>
      </w:pPr>
      <w:r>
        <w:rPr>
          <w:rFonts w:hint="eastAsia" w:ascii="Times New Roman" w:hAnsi="Times New Roman" w:eastAsia="宋体"/>
          <w:color w:val="auto"/>
          <w:kern w:val="2"/>
          <w:sz w:val="21"/>
          <w:szCs w:val="21"/>
          <w:highlight w:val="none"/>
        </w:rPr>
        <w:t>□本项目属于政府向社会公众提供的公共服务项目，邀请服务对象参与并出具意见，验收结果向社会公告。</w:t>
      </w:r>
    </w:p>
    <w:p>
      <w:pPr>
        <w:pStyle w:val="174"/>
        <w:ind w:firstLineChars="0"/>
        <w:rPr>
          <w:rFonts w:ascii="Times New Roman" w:hAnsi="Times New Roman" w:eastAsia="宋体"/>
          <w:color w:val="auto"/>
          <w:kern w:val="2"/>
          <w:sz w:val="21"/>
          <w:szCs w:val="21"/>
          <w:highlight w:val="none"/>
        </w:rPr>
      </w:pPr>
      <w:bookmarkStart w:id="33" w:name="_Hlk77607153"/>
      <w:r>
        <w:rPr>
          <w:rFonts w:hint="eastAsia" w:ascii="Times New Roman" w:hAnsi="Times New Roman" w:eastAsia="宋体"/>
          <w:color w:val="auto"/>
          <w:kern w:val="2"/>
          <w:sz w:val="21"/>
          <w:szCs w:val="21"/>
          <w:highlight w:val="none"/>
        </w:rPr>
        <w:t>□本项目属于采购人与使用人分离的项目，邀请使用人参与验收。</w:t>
      </w:r>
    </w:p>
    <w:bookmarkEnd w:id="33"/>
    <w:p>
      <w:pPr>
        <w:pStyle w:val="174"/>
        <w:ind w:firstLine="149" w:firstLineChars="71"/>
        <w:rPr>
          <w:rFonts w:ascii="Times New Roman" w:hAnsi="Times New Roman" w:eastAsia="宋体"/>
          <w:color w:val="auto"/>
          <w:kern w:val="2"/>
          <w:sz w:val="21"/>
          <w:szCs w:val="21"/>
          <w:highlight w:val="none"/>
          <w:u w:val="single"/>
        </w:rPr>
      </w:pPr>
      <w:r>
        <w:rPr>
          <w:rFonts w:ascii="Times New Roman" w:hAnsi="Times New Roman" w:eastAsia="宋体"/>
          <w:color w:val="auto"/>
          <w:kern w:val="2"/>
          <w:sz w:val="21"/>
          <w:szCs w:val="21"/>
          <w:highlight w:val="none"/>
        </w:rPr>
        <w:t>2.</w:t>
      </w:r>
      <w:r>
        <w:rPr>
          <w:rFonts w:hint="eastAsia" w:ascii="Times New Roman" w:hAnsi="Times New Roman" w:eastAsia="宋体"/>
          <w:color w:val="auto"/>
          <w:kern w:val="2"/>
          <w:sz w:val="21"/>
          <w:szCs w:val="21"/>
          <w:highlight w:val="none"/>
        </w:rPr>
        <w:t>履约验收时间：</w:t>
      </w:r>
      <w:r>
        <w:rPr>
          <w:rFonts w:hint="eastAsia" w:ascii="Times New Roman" w:hAnsi="Times New Roman" w:eastAsia="宋体"/>
          <w:color w:val="auto"/>
          <w:kern w:val="2"/>
          <w:sz w:val="21"/>
          <w:szCs w:val="21"/>
          <w:highlight w:val="none"/>
          <w:u w:val="single"/>
        </w:rPr>
        <w:t xml:space="preserve"> </w:t>
      </w:r>
      <w:r>
        <w:rPr>
          <w:rFonts w:ascii="Times New Roman" w:hAnsi="Times New Roman" w:eastAsia="宋体"/>
          <w:color w:val="auto"/>
          <w:kern w:val="2"/>
          <w:sz w:val="21"/>
          <w:szCs w:val="21"/>
          <w:highlight w:val="none"/>
          <w:u w:val="single"/>
        </w:rPr>
        <w:t xml:space="preserve">            </w:t>
      </w:r>
    </w:p>
    <w:p>
      <w:pPr>
        <w:pStyle w:val="174"/>
        <w:ind w:firstLine="149" w:firstLineChars="71"/>
        <w:rPr>
          <w:rFonts w:ascii="Times New Roman" w:hAnsi="Times New Roman" w:eastAsia="宋体"/>
          <w:color w:val="auto"/>
          <w:kern w:val="2"/>
          <w:sz w:val="21"/>
          <w:szCs w:val="21"/>
          <w:highlight w:val="none"/>
          <w:u w:val="single"/>
        </w:rPr>
      </w:pPr>
      <w:r>
        <w:rPr>
          <w:rFonts w:ascii="Times New Roman" w:hAnsi="Times New Roman" w:eastAsia="宋体"/>
          <w:color w:val="auto"/>
          <w:kern w:val="2"/>
          <w:sz w:val="21"/>
          <w:szCs w:val="21"/>
          <w:highlight w:val="none"/>
        </w:rPr>
        <w:t>3.</w:t>
      </w:r>
      <w:r>
        <w:rPr>
          <w:rFonts w:hint="eastAsia" w:ascii="Times New Roman" w:hAnsi="Times New Roman" w:eastAsia="宋体"/>
          <w:color w:val="auto"/>
          <w:kern w:val="2"/>
          <w:sz w:val="21"/>
          <w:szCs w:val="21"/>
          <w:highlight w:val="none"/>
        </w:rPr>
        <w:t>履约验收程序：</w:t>
      </w:r>
      <w:r>
        <w:rPr>
          <w:rFonts w:hint="eastAsia" w:ascii="Times New Roman" w:hAnsi="Times New Roman" w:eastAsia="宋体"/>
          <w:color w:val="auto"/>
          <w:kern w:val="2"/>
          <w:sz w:val="21"/>
          <w:szCs w:val="21"/>
          <w:highlight w:val="none"/>
          <w:u w:val="single"/>
        </w:rPr>
        <w:t xml:space="preserve"> </w:t>
      </w:r>
      <w:r>
        <w:rPr>
          <w:rFonts w:ascii="Times New Roman" w:hAnsi="Times New Roman" w:eastAsia="宋体"/>
          <w:color w:val="auto"/>
          <w:kern w:val="2"/>
          <w:sz w:val="21"/>
          <w:szCs w:val="21"/>
          <w:highlight w:val="none"/>
          <w:u w:val="single"/>
        </w:rPr>
        <w:t xml:space="preserve">            </w:t>
      </w:r>
      <w:r>
        <w:rPr>
          <w:rFonts w:hint="eastAsia" w:ascii="Times New Roman" w:hAnsi="Times New Roman" w:eastAsia="宋体"/>
          <w:color w:val="auto"/>
          <w:kern w:val="2"/>
          <w:sz w:val="21"/>
          <w:szCs w:val="21"/>
          <w:highlight w:val="none"/>
          <w:u w:val="single"/>
        </w:rPr>
        <w:t>（货物类项目可以设置多重验收环节）</w:t>
      </w:r>
    </w:p>
    <w:p>
      <w:pPr>
        <w:pStyle w:val="174"/>
        <w:ind w:firstLine="149" w:firstLineChars="71"/>
        <w:rPr>
          <w:rFonts w:ascii="Times New Roman" w:hAnsi="Times New Roman" w:eastAsia="宋体"/>
          <w:color w:val="auto"/>
          <w:kern w:val="2"/>
          <w:sz w:val="21"/>
          <w:szCs w:val="21"/>
          <w:highlight w:val="none"/>
        </w:rPr>
      </w:pPr>
      <w:r>
        <w:rPr>
          <w:rFonts w:ascii="Times New Roman" w:hAnsi="Times New Roman" w:eastAsia="宋体"/>
          <w:color w:val="auto"/>
          <w:kern w:val="2"/>
          <w:sz w:val="21"/>
          <w:szCs w:val="21"/>
          <w:highlight w:val="none"/>
        </w:rPr>
        <w:t>4.</w:t>
      </w:r>
      <w:r>
        <w:rPr>
          <w:rFonts w:hint="eastAsia" w:ascii="Times New Roman" w:hAnsi="Times New Roman" w:eastAsia="宋体"/>
          <w:color w:val="auto"/>
          <w:kern w:val="2"/>
          <w:sz w:val="21"/>
          <w:szCs w:val="21"/>
          <w:highlight w:val="none"/>
        </w:rPr>
        <w:t>履约验收内容：</w:t>
      </w:r>
    </w:p>
    <w:p>
      <w:pPr>
        <w:pStyle w:val="174"/>
        <w:ind w:firstLine="199" w:firstLineChars="95"/>
        <w:rPr>
          <w:rFonts w:ascii="Times New Roman" w:hAnsi="Times New Roman" w:eastAsia="宋体"/>
          <w:color w:val="auto"/>
          <w:kern w:val="2"/>
          <w:sz w:val="21"/>
          <w:szCs w:val="21"/>
          <w:highlight w:val="none"/>
        </w:rPr>
      </w:pPr>
      <w:bookmarkStart w:id="34" w:name="_Hlk77607198"/>
      <w:r>
        <w:rPr>
          <w:rFonts w:hint="eastAsia" w:ascii="Times New Roman" w:hAnsi="Times New Roman" w:eastAsia="宋体"/>
          <w:color w:val="auto"/>
          <w:kern w:val="2"/>
          <w:sz w:val="21"/>
          <w:szCs w:val="21"/>
          <w:highlight w:val="none"/>
        </w:rPr>
        <w:t>程序与内容请根据采购人内控制度及财库【2021】22号文及桂财采〔2015〕22号文规定编制</w:t>
      </w:r>
    </w:p>
    <w:bookmarkEnd w:id="34"/>
    <w:p>
      <w:pPr>
        <w:numPr>
          <w:ilvl w:val="0"/>
          <w:numId w:val="3"/>
        </w:numPr>
        <w:spacing w:line="300" w:lineRule="exact"/>
        <w:jc w:val="left"/>
        <w:rPr>
          <w:color w:val="auto"/>
          <w:szCs w:val="21"/>
          <w:highlight w:val="none"/>
        </w:rPr>
      </w:pPr>
      <w:r>
        <w:rPr>
          <w:rFonts w:hint="eastAsia"/>
          <w:color w:val="auto"/>
          <w:szCs w:val="21"/>
          <w:highlight w:val="none"/>
        </w:rPr>
        <w:t>履约验收标准：</w:t>
      </w:r>
    </w:p>
    <w:p>
      <w:pPr>
        <w:spacing w:line="300" w:lineRule="exact"/>
        <w:ind w:firstLine="420" w:firstLineChars="200"/>
        <w:jc w:val="left"/>
        <w:rPr>
          <w:color w:val="auto"/>
          <w:szCs w:val="21"/>
          <w:highlight w:val="none"/>
        </w:rPr>
      </w:pPr>
      <w:r>
        <w:rPr>
          <w:rFonts w:hint="eastAsia"/>
          <w:color w:val="auto"/>
          <w:szCs w:val="21"/>
          <w:highlight w:val="none"/>
        </w:rPr>
        <w:t>验收标准：</w:t>
      </w:r>
    </w:p>
    <w:p>
      <w:pPr>
        <w:spacing w:line="300" w:lineRule="exact"/>
        <w:jc w:val="left"/>
        <w:rPr>
          <w:color w:val="auto"/>
          <w:szCs w:val="21"/>
          <w:highlight w:val="none"/>
        </w:rPr>
      </w:pPr>
      <w:r>
        <w:rPr>
          <w:rFonts w:hint="eastAsia"/>
          <w:color w:val="auto"/>
          <w:szCs w:val="21"/>
          <w:highlight w:val="none"/>
        </w:rPr>
        <w:t>（1）中标（成交）供应商应提供完备的技术资料、装箱单和合格证等，并派遣专业人员进行现场安装调试。验收合格条件如下：</w:t>
      </w:r>
    </w:p>
    <w:p>
      <w:pPr>
        <w:spacing w:line="300" w:lineRule="exact"/>
        <w:jc w:val="left"/>
        <w:rPr>
          <w:color w:val="auto"/>
          <w:szCs w:val="21"/>
          <w:highlight w:val="none"/>
        </w:rPr>
      </w:pPr>
      <w:r>
        <w:rPr>
          <w:rFonts w:hint="eastAsia"/>
          <w:color w:val="auto"/>
          <w:szCs w:val="21"/>
          <w:highlight w:val="none"/>
        </w:rPr>
        <w:t>货物技术参数与响应文件中响应表或证明材料一致，性能或指标达到规定的标准。否则，以实际货物技术参数与响应文件响应表参数或证明材料比较，按如下情况处理：</w:t>
      </w:r>
    </w:p>
    <w:p>
      <w:pPr>
        <w:spacing w:line="300" w:lineRule="exact"/>
        <w:jc w:val="left"/>
        <w:rPr>
          <w:color w:val="auto"/>
          <w:szCs w:val="21"/>
          <w:highlight w:val="none"/>
        </w:rPr>
      </w:pPr>
      <w:r>
        <w:rPr>
          <w:rFonts w:hint="eastAsia"/>
          <w:color w:val="auto"/>
          <w:szCs w:val="21"/>
          <w:highlight w:val="none"/>
        </w:rPr>
        <w:t>①供应商响应文件响应表或证明材料中满足或优于的技术参数，在验收时实际不满足技术参数要求的，视为供应商违约，采购人有权解除合同拒收货物，并追究供应商责任，同时报财政部门备案。</w:t>
      </w:r>
    </w:p>
    <w:p>
      <w:pPr>
        <w:spacing w:line="300" w:lineRule="exact"/>
        <w:jc w:val="left"/>
        <w:rPr>
          <w:color w:val="auto"/>
          <w:szCs w:val="21"/>
          <w:highlight w:val="none"/>
        </w:rPr>
      </w:pPr>
      <w:r>
        <w:rPr>
          <w:rFonts w:hint="eastAsia"/>
          <w:color w:val="auto"/>
          <w:szCs w:val="21"/>
          <w:highlight w:val="none"/>
        </w:rPr>
        <w:t>②供应商响应文件响应表或证明材料中优于的技术参数，在验收时实际仅满足并未优于技术参数要求的，视为供应商违约，采购人有权终止合同拒收货物，并追究供应商责任，同时报财政部门备案。</w:t>
      </w:r>
    </w:p>
    <w:p>
      <w:pPr>
        <w:spacing w:line="300" w:lineRule="exact"/>
        <w:jc w:val="left"/>
        <w:rPr>
          <w:color w:val="auto"/>
          <w:szCs w:val="21"/>
          <w:highlight w:val="none"/>
        </w:rPr>
      </w:pPr>
      <w:r>
        <w:rPr>
          <w:rFonts w:hint="eastAsia"/>
          <w:color w:val="auto"/>
          <w:szCs w:val="21"/>
          <w:highlight w:val="none"/>
        </w:rPr>
        <w:t xml:space="preserve">③供应商响应文件响应表或证明材料中不满足的技术参数，在验收时实际满足技术参数的要求，以满足技术参数的要求验收。 </w:t>
      </w:r>
    </w:p>
    <w:p>
      <w:pPr>
        <w:spacing w:line="300" w:lineRule="exact"/>
        <w:jc w:val="left"/>
        <w:rPr>
          <w:color w:val="auto"/>
          <w:szCs w:val="21"/>
          <w:highlight w:val="none"/>
        </w:rPr>
      </w:pPr>
      <w:r>
        <w:rPr>
          <w:rFonts w:hint="eastAsia"/>
          <w:color w:val="auto"/>
          <w:szCs w:val="21"/>
          <w:highlight w:val="none"/>
        </w:rPr>
        <w:t>④供应商响应文件响应表或证明材料中满足的技术参数，在验收时实际优于技术参数的要求，以满足技术参数的要求验收。</w:t>
      </w:r>
    </w:p>
    <w:p>
      <w:pPr>
        <w:spacing w:line="300" w:lineRule="exact"/>
        <w:jc w:val="left"/>
        <w:rPr>
          <w:color w:val="auto"/>
          <w:szCs w:val="21"/>
          <w:highlight w:val="none"/>
        </w:rPr>
      </w:pPr>
      <w:r>
        <w:rPr>
          <w:rFonts w:hint="eastAsia"/>
          <w:color w:val="auto"/>
          <w:szCs w:val="21"/>
          <w:highlight w:val="none"/>
        </w:rPr>
        <w:t>⑤供应商响应文件响应表或证明材料中优于的技术参数，在验收时实际也优于技术参数的要求，但没有达到响应表或证明材料中优于的程度，由采购人与供应商协商按是否满足要求验收。</w:t>
      </w:r>
    </w:p>
    <w:p>
      <w:pPr>
        <w:spacing w:line="300" w:lineRule="exact"/>
        <w:jc w:val="left"/>
        <w:rPr>
          <w:color w:val="auto"/>
          <w:szCs w:val="21"/>
          <w:highlight w:val="none"/>
        </w:rPr>
      </w:pPr>
      <w:r>
        <w:rPr>
          <w:rFonts w:hint="eastAsia"/>
          <w:color w:val="auto"/>
          <w:szCs w:val="21"/>
          <w:highlight w:val="none"/>
        </w:rPr>
        <w:t>⑥实际货物与响应货物型号不一致的，验收时不论实际是优于还是满足技术参数的要求，采购人均有权解除合同拒收货物。如影响货物的使用、质量、档次及采购人需求的，还可视为供应商违约，追究供应商责任，同时报财政部门备案。</w:t>
      </w:r>
    </w:p>
    <w:p>
      <w:pPr>
        <w:spacing w:line="300" w:lineRule="exact"/>
        <w:jc w:val="left"/>
        <w:rPr>
          <w:color w:val="auto"/>
          <w:szCs w:val="21"/>
          <w:highlight w:val="none"/>
        </w:rPr>
      </w:pPr>
      <w:r>
        <w:rPr>
          <w:rFonts w:hint="eastAsia"/>
          <w:color w:val="auto"/>
          <w:szCs w:val="21"/>
          <w:highlight w:val="none"/>
        </w:rPr>
        <w:t>（1）技术资料、装箱单、合格证等资料齐全。</w:t>
      </w:r>
    </w:p>
    <w:p>
      <w:pPr>
        <w:spacing w:line="300" w:lineRule="exact"/>
        <w:jc w:val="left"/>
        <w:rPr>
          <w:color w:val="auto"/>
          <w:szCs w:val="21"/>
          <w:highlight w:val="none"/>
        </w:rPr>
      </w:pPr>
      <w:r>
        <w:rPr>
          <w:rFonts w:hint="eastAsia"/>
          <w:color w:val="auto"/>
          <w:szCs w:val="21"/>
          <w:highlight w:val="none"/>
        </w:rPr>
        <w:t>（2）在测试或试运行期间所出现的问题得到解决，并运行或工作正常。</w:t>
      </w:r>
    </w:p>
    <w:p>
      <w:pPr>
        <w:spacing w:line="300" w:lineRule="exact"/>
        <w:jc w:val="left"/>
        <w:rPr>
          <w:color w:val="auto"/>
          <w:szCs w:val="21"/>
          <w:highlight w:val="none"/>
        </w:rPr>
      </w:pPr>
      <w:r>
        <w:rPr>
          <w:rFonts w:hint="eastAsia"/>
          <w:color w:val="auto"/>
          <w:szCs w:val="21"/>
          <w:highlight w:val="none"/>
        </w:rPr>
        <w:t>（3）在规定时间内完成交货及验收，并经采购人确认。</w:t>
      </w:r>
    </w:p>
    <w:p>
      <w:pPr>
        <w:spacing w:line="300" w:lineRule="exact"/>
        <w:jc w:val="left"/>
        <w:rPr>
          <w:color w:val="auto"/>
          <w:szCs w:val="21"/>
          <w:highlight w:val="none"/>
        </w:rPr>
      </w:pPr>
      <w:r>
        <w:rPr>
          <w:rFonts w:hint="eastAsia"/>
          <w:color w:val="auto"/>
          <w:szCs w:val="21"/>
          <w:highlight w:val="none"/>
        </w:rPr>
        <w:t>（4）货物在安装调试并试运行符合要求后，才作为最终验收。</w:t>
      </w:r>
    </w:p>
    <w:p>
      <w:pPr>
        <w:spacing w:line="300" w:lineRule="exact"/>
        <w:jc w:val="left"/>
        <w:rPr>
          <w:color w:val="auto"/>
          <w:szCs w:val="21"/>
          <w:highlight w:val="none"/>
        </w:rPr>
      </w:pPr>
      <w:r>
        <w:rPr>
          <w:rFonts w:hint="eastAsia"/>
          <w:color w:val="auto"/>
          <w:szCs w:val="21"/>
          <w:highlight w:val="none"/>
        </w:rPr>
        <w:t>（5）成交供应商提供的货物未达到采购文件规定要求，且对采购人造成损失的，由成交供应商承担一切责任，并赔偿所造成的损失。</w:t>
      </w:r>
    </w:p>
    <w:p>
      <w:pPr>
        <w:spacing w:line="300" w:lineRule="exact"/>
        <w:jc w:val="left"/>
        <w:rPr>
          <w:color w:val="auto"/>
          <w:szCs w:val="21"/>
          <w:highlight w:val="none"/>
        </w:rPr>
      </w:pPr>
      <w:r>
        <w:rPr>
          <w:rFonts w:hint="eastAsia"/>
          <w:color w:val="auto"/>
          <w:szCs w:val="21"/>
          <w:highlight w:val="none"/>
        </w:rPr>
        <w:t>（6）采购人需要制造商对成交供应商交付的产品（包括质量、参数等）进行确认的，制造商应予以配合并出具书面意见，相关配合事项由成交供应商与制造商协调。</w:t>
      </w:r>
    </w:p>
    <w:p>
      <w:pPr>
        <w:spacing w:line="300" w:lineRule="exact"/>
        <w:jc w:val="left"/>
        <w:rPr>
          <w:color w:val="auto"/>
          <w:szCs w:val="21"/>
          <w:highlight w:val="none"/>
        </w:rPr>
      </w:pPr>
      <w:r>
        <w:rPr>
          <w:rFonts w:hint="eastAsia"/>
          <w:color w:val="auto"/>
          <w:szCs w:val="21"/>
          <w:highlight w:val="none"/>
        </w:rPr>
        <w:t>（7）产品包装材料归采购人所有。</w:t>
      </w:r>
    </w:p>
    <w:p>
      <w:pPr>
        <w:spacing w:line="300" w:lineRule="exact"/>
        <w:jc w:val="left"/>
        <w:rPr>
          <w:color w:val="auto"/>
          <w:szCs w:val="21"/>
          <w:highlight w:val="none"/>
        </w:rPr>
      </w:pPr>
      <w:r>
        <w:rPr>
          <w:rFonts w:hint="eastAsia"/>
          <w:color w:val="auto"/>
          <w:szCs w:val="21"/>
          <w:highlight w:val="none"/>
        </w:rPr>
        <w:t>（8）政府采购合同约定的其他要求及响应文件响应的其他标准。</w:t>
      </w:r>
    </w:p>
    <w:bookmarkEnd w:id="32"/>
    <w:p>
      <w:pPr>
        <w:pStyle w:val="23"/>
        <w:snapToGrid w:val="0"/>
        <w:spacing w:before="120" w:after="120"/>
        <w:ind w:firstLine="241"/>
        <w:rPr>
          <w:rFonts w:ascii="Times New Roman" w:hAnsi="Times New Roman" w:cs="Times New Roman"/>
          <w:color w:val="auto"/>
          <w:highlight w:val="none"/>
        </w:rPr>
      </w:pPr>
    </w:p>
    <w:p>
      <w:pPr>
        <w:pStyle w:val="23"/>
        <w:snapToGrid w:val="0"/>
        <w:spacing w:before="120" w:after="120"/>
        <w:rPr>
          <w:rFonts w:ascii="Arial" w:hAnsi="Arial" w:cs="Arial"/>
          <w:b/>
          <w:color w:val="auto"/>
          <w:sz w:val="32"/>
          <w:szCs w:val="32"/>
          <w:highlight w:val="none"/>
        </w:rPr>
        <w:sectPr>
          <w:headerReference r:id="rId12" w:type="default"/>
          <w:pgSz w:w="11906" w:h="16838"/>
          <w:pgMar w:top="850" w:right="1134" w:bottom="850" w:left="1134" w:header="454" w:footer="454" w:gutter="0"/>
          <w:cols w:space="720" w:num="1"/>
          <w:docGrid w:linePitch="312" w:charSpace="0"/>
        </w:sectPr>
      </w:pPr>
      <w:r>
        <w:rPr>
          <w:color w:val="auto"/>
          <w:sz w:val="32"/>
          <w:szCs w:val="32"/>
          <w:highlight w:val="none"/>
        </w:rPr>
        <w:br w:type="page"/>
      </w:r>
      <w:bookmarkEnd w:id="31"/>
    </w:p>
    <w:p>
      <w:pPr>
        <w:pStyle w:val="23"/>
        <w:snapToGrid w:val="0"/>
        <w:spacing w:before="120" w:after="120" w:line="320" w:lineRule="exact"/>
        <w:jc w:val="center"/>
        <w:outlineLvl w:val="0"/>
        <w:rPr>
          <w:rFonts w:ascii="Arial" w:hAnsi="Arial" w:cs="Arial"/>
          <w:color w:val="auto"/>
          <w:sz w:val="32"/>
          <w:szCs w:val="32"/>
          <w:highlight w:val="none"/>
        </w:rPr>
      </w:pPr>
      <w:bookmarkStart w:id="35" w:name="_Toc489863689"/>
      <w:bookmarkStart w:id="36" w:name="_Toc10369"/>
      <w:r>
        <w:rPr>
          <w:rFonts w:ascii="Arial" w:hAnsi="Arial" w:cs="Arial"/>
          <w:color w:val="auto"/>
          <w:sz w:val="32"/>
          <w:szCs w:val="32"/>
          <w:highlight w:val="none"/>
        </w:rPr>
        <w:t>第六章  响应文件格式</w:t>
      </w:r>
      <w:bookmarkEnd w:id="35"/>
      <w:bookmarkEnd w:id="36"/>
    </w:p>
    <w:p>
      <w:pPr>
        <w:rPr>
          <w:rFonts w:ascii="Arial" w:hAnsi="Arial" w:cs="Arial"/>
          <w:color w:val="auto"/>
          <w:sz w:val="28"/>
          <w:szCs w:val="28"/>
          <w:highlight w:val="none"/>
        </w:rPr>
      </w:pPr>
      <w:bookmarkStart w:id="37" w:name="_Toc254970556"/>
      <w:bookmarkStart w:id="38" w:name="_Toc254970697"/>
    </w:p>
    <w:p>
      <w:pPr>
        <w:rPr>
          <w:rFonts w:ascii="Arial" w:hAnsi="Arial" w:cs="Arial"/>
          <w:color w:val="auto"/>
          <w:sz w:val="28"/>
          <w:szCs w:val="28"/>
          <w:highlight w:val="none"/>
        </w:rPr>
      </w:pPr>
    </w:p>
    <w:p>
      <w:pPr>
        <w:spacing w:line="500" w:lineRule="exact"/>
        <w:ind w:firstLine="560" w:firstLineChars="200"/>
        <w:rPr>
          <w:rFonts w:ascii="Arial" w:hAnsi="Arial" w:cs="Arial"/>
          <w:color w:val="auto"/>
          <w:sz w:val="28"/>
          <w:szCs w:val="28"/>
          <w:highlight w:val="none"/>
        </w:rPr>
      </w:pPr>
      <w:r>
        <w:rPr>
          <w:rFonts w:ascii="Arial" w:hAnsi="Arial" w:cs="Arial"/>
          <w:color w:val="auto"/>
          <w:sz w:val="28"/>
          <w:szCs w:val="28"/>
          <w:highlight w:val="none"/>
        </w:rPr>
        <w:t>注：本章标注“必须提供”的，应按要求必须提供；有签字、盖章要求的应按要求签字、盖章。未标注“必须提供”的，供应商可自行决定是否提供。</w:t>
      </w:r>
    </w:p>
    <w:p>
      <w:pPr>
        <w:spacing w:line="500" w:lineRule="exact"/>
        <w:ind w:firstLine="480" w:firstLineChars="200"/>
        <w:rPr>
          <w:rFonts w:ascii="Arial" w:hAnsi="Arial" w:cs="Arial"/>
          <w:color w:val="auto"/>
          <w:sz w:val="24"/>
          <w:highlight w:val="none"/>
        </w:rPr>
      </w:pPr>
    </w:p>
    <w:p>
      <w:pPr>
        <w:snapToGrid w:val="0"/>
        <w:spacing w:before="120" w:beforeLines="50" w:after="50" w:line="440" w:lineRule="exact"/>
        <w:outlineLvl w:val="1"/>
        <w:rPr>
          <w:rFonts w:ascii="Arial" w:hAnsi="Arial" w:cs="Arial"/>
          <w:b/>
          <w:color w:val="auto"/>
          <w:sz w:val="24"/>
          <w:highlight w:val="none"/>
        </w:rPr>
      </w:pPr>
      <w:r>
        <w:rPr>
          <w:rFonts w:ascii="Arial" w:hAnsi="Arial" w:cs="Arial"/>
          <w:bCs/>
          <w:color w:val="auto"/>
          <w:sz w:val="24"/>
          <w:highlight w:val="none"/>
        </w:rPr>
        <w:br w:type="page"/>
      </w:r>
      <w:bookmarkEnd w:id="37"/>
      <w:bookmarkEnd w:id="38"/>
      <w:r>
        <w:rPr>
          <w:rFonts w:ascii="Arial" w:hAnsi="Arial" w:cs="Arial"/>
          <w:b/>
          <w:color w:val="auto"/>
          <w:sz w:val="24"/>
          <w:highlight w:val="none"/>
        </w:rPr>
        <w:t>响应文件的外包装封面格式：</w:t>
      </w:r>
    </w:p>
    <w:p>
      <w:pPr>
        <w:snapToGrid w:val="0"/>
        <w:spacing w:before="120" w:beforeLines="50" w:after="50" w:line="440" w:lineRule="exact"/>
        <w:rPr>
          <w:rFonts w:ascii="Arial" w:hAnsi="Arial" w:cs="Arial"/>
          <w:color w:val="auto"/>
          <w:sz w:val="24"/>
          <w:highlight w:val="none"/>
        </w:rPr>
      </w:pPr>
    </w:p>
    <w:p>
      <w:pPr>
        <w:snapToGrid w:val="0"/>
        <w:spacing w:before="120" w:beforeLines="50" w:after="50" w:line="440" w:lineRule="exact"/>
        <w:jc w:val="center"/>
        <w:rPr>
          <w:rFonts w:ascii="Arial" w:hAnsi="Arial" w:cs="Arial"/>
          <w:bCs/>
          <w:color w:val="auto"/>
          <w:sz w:val="24"/>
          <w:highlight w:val="none"/>
        </w:rPr>
      </w:pPr>
    </w:p>
    <w:p>
      <w:pPr>
        <w:snapToGrid w:val="0"/>
        <w:spacing w:before="120" w:beforeLines="50" w:after="50" w:line="44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响 应 文 件</w:t>
      </w:r>
    </w:p>
    <w:p>
      <w:pPr>
        <w:snapToGrid w:val="0"/>
        <w:spacing w:before="120" w:beforeLines="50" w:after="50" w:line="440" w:lineRule="exact"/>
        <w:rPr>
          <w:rFonts w:ascii="Arial" w:hAnsi="Arial" w:cs="Arial"/>
          <w:bCs/>
          <w:color w:val="auto"/>
          <w:sz w:val="24"/>
          <w:highlight w:val="none"/>
        </w:rPr>
      </w:pPr>
    </w:p>
    <w:p>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项目编号： </w:t>
      </w:r>
    </w:p>
    <w:p>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w:t>
      </w:r>
      <w:r>
        <w:rPr>
          <w:rFonts w:hint="eastAsia" w:ascii="Arial" w:hAnsi="Arial" w:cs="Arial"/>
          <w:bCs/>
          <w:color w:val="auto"/>
          <w:sz w:val="24"/>
          <w:highlight w:val="none"/>
        </w:rPr>
        <w:t xml:space="preserve"> （如有则填写，无分标时填写“无”或者留空）</w:t>
      </w:r>
    </w:p>
    <w:p>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响应文件名称：纸质版响应文件、电子版响应文件</w:t>
      </w:r>
      <w:r>
        <w:rPr>
          <w:rFonts w:hint="eastAsia" w:ascii="Arial" w:hAnsi="Arial" w:cs="Arial"/>
          <w:bCs/>
          <w:color w:val="auto"/>
          <w:sz w:val="24"/>
          <w:szCs w:val="24"/>
          <w:highlight w:val="none"/>
        </w:rPr>
        <w:t xml:space="preserve"> </w:t>
      </w:r>
    </w:p>
    <w:p>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供应商名称：</w:t>
      </w:r>
    </w:p>
    <w:p>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供应商地址：</w:t>
      </w:r>
    </w:p>
    <w:p>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在  年  月  日  时  分之前不得启封</w:t>
      </w:r>
    </w:p>
    <w:p>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截标时启封</w:t>
      </w:r>
    </w:p>
    <w:p>
      <w:pPr>
        <w:snapToGrid w:val="0"/>
        <w:spacing w:before="120" w:beforeLines="50" w:after="50" w:line="440" w:lineRule="exact"/>
        <w:ind w:firstLine="4080" w:firstLineChars="1700"/>
        <w:rPr>
          <w:rFonts w:ascii="Arial" w:hAnsi="Arial" w:cs="Arial"/>
          <w:bCs/>
          <w:color w:val="auto"/>
          <w:sz w:val="24"/>
          <w:highlight w:val="none"/>
        </w:rPr>
      </w:pPr>
    </w:p>
    <w:p>
      <w:pPr>
        <w:snapToGrid w:val="0"/>
        <w:spacing w:before="120" w:beforeLines="50" w:after="50" w:line="440" w:lineRule="exact"/>
        <w:ind w:firstLine="645"/>
        <w:jc w:val="center"/>
        <w:rPr>
          <w:rFonts w:ascii="Arial" w:hAnsi="Arial" w:cs="Arial"/>
          <w:bCs/>
          <w:color w:val="auto"/>
          <w:sz w:val="24"/>
          <w:highlight w:val="none"/>
        </w:rPr>
      </w:pPr>
      <w:r>
        <w:rPr>
          <w:rFonts w:ascii="Arial" w:hAnsi="Arial" w:cs="Arial"/>
          <w:bCs/>
          <w:color w:val="auto"/>
          <w:sz w:val="24"/>
          <w:highlight w:val="none"/>
        </w:rPr>
        <w:t xml:space="preserve">                        年  月  日</w:t>
      </w:r>
    </w:p>
    <w:p>
      <w:pPr>
        <w:rPr>
          <w:rFonts w:ascii="Arial" w:hAnsi="Arial" w:cs="Arial"/>
          <w:color w:val="auto"/>
          <w:highlight w:val="none"/>
        </w:rPr>
      </w:pPr>
    </w:p>
    <w:p>
      <w:pPr>
        <w:snapToGrid w:val="0"/>
        <w:spacing w:before="120" w:beforeLines="50" w:after="50" w:line="440" w:lineRule="exact"/>
        <w:jc w:val="left"/>
        <w:outlineLvl w:val="1"/>
        <w:rPr>
          <w:rFonts w:ascii="Arial" w:hAnsi="Arial" w:cs="Arial"/>
          <w:b/>
          <w:color w:val="auto"/>
          <w:sz w:val="24"/>
          <w:highlight w:val="none"/>
        </w:rPr>
      </w:pPr>
      <w:r>
        <w:rPr>
          <w:rFonts w:ascii="Arial" w:hAnsi="Arial" w:cs="Arial"/>
          <w:color w:val="auto"/>
          <w:sz w:val="24"/>
          <w:highlight w:val="none"/>
        </w:rPr>
        <w:br w:type="page"/>
      </w:r>
      <w:r>
        <w:rPr>
          <w:rFonts w:ascii="Arial" w:hAnsi="Arial" w:cs="Arial"/>
          <w:b/>
          <w:color w:val="auto"/>
          <w:sz w:val="24"/>
          <w:highlight w:val="none"/>
        </w:rPr>
        <w:t xml:space="preserve">（1）纸质版响应文件封面格式： </w:t>
      </w:r>
    </w:p>
    <w:p>
      <w:pPr>
        <w:snapToGrid w:val="0"/>
        <w:spacing w:before="120" w:beforeLines="50" w:after="50" w:line="360" w:lineRule="exact"/>
        <w:rPr>
          <w:rFonts w:ascii="Arial" w:hAnsi="Arial" w:cs="Arial"/>
          <w:color w:val="auto"/>
          <w:sz w:val="24"/>
          <w:highlight w:val="none"/>
        </w:rPr>
      </w:pPr>
    </w:p>
    <w:p>
      <w:pPr>
        <w:snapToGrid w:val="0"/>
        <w:spacing w:before="120" w:beforeLines="50" w:after="50" w:line="360" w:lineRule="exact"/>
        <w:jc w:val="right"/>
        <w:rPr>
          <w:rFonts w:ascii="Arial" w:hAnsi="Arial" w:cs="Arial"/>
          <w:bCs/>
          <w:color w:val="auto"/>
          <w:sz w:val="24"/>
          <w:highlight w:val="none"/>
        </w:rPr>
      </w:pPr>
      <w:r>
        <w:rPr>
          <w:rFonts w:ascii="Arial" w:hAnsi="Arial" w:cs="Arial"/>
          <w:bCs/>
          <w:color w:val="auto"/>
          <w:sz w:val="24"/>
          <w:highlight w:val="none"/>
        </w:rPr>
        <w:t>正本/副本</w:t>
      </w:r>
    </w:p>
    <w:p>
      <w:pPr>
        <w:snapToGrid w:val="0"/>
        <w:spacing w:before="120" w:beforeLines="50" w:after="50" w:line="360" w:lineRule="exact"/>
        <w:jc w:val="center"/>
        <w:rPr>
          <w:rFonts w:ascii="Arial" w:hAnsi="Arial" w:cs="Arial"/>
          <w:bCs/>
          <w:color w:val="auto"/>
          <w:sz w:val="24"/>
          <w:highlight w:val="none"/>
        </w:rPr>
      </w:pPr>
    </w:p>
    <w:p>
      <w:pPr>
        <w:snapToGrid w:val="0"/>
        <w:spacing w:before="120" w:beforeLines="50" w:after="50" w:line="360" w:lineRule="exact"/>
        <w:jc w:val="center"/>
        <w:rPr>
          <w:rFonts w:ascii="Arial" w:hAnsi="Arial" w:cs="Arial"/>
          <w:b/>
          <w:bCs/>
          <w:color w:val="auto"/>
          <w:sz w:val="44"/>
          <w:szCs w:val="44"/>
          <w:highlight w:val="none"/>
        </w:rPr>
      </w:pPr>
    </w:p>
    <w:p>
      <w:pPr>
        <w:snapToGrid w:val="0"/>
        <w:spacing w:before="120" w:beforeLines="50" w:after="50" w:line="360" w:lineRule="exact"/>
        <w:jc w:val="center"/>
        <w:rPr>
          <w:rFonts w:ascii="Arial" w:hAnsi="Arial" w:cs="Arial"/>
          <w:b/>
          <w:bCs/>
          <w:color w:val="auto"/>
          <w:sz w:val="44"/>
          <w:szCs w:val="44"/>
          <w:highlight w:val="none"/>
        </w:rPr>
      </w:pPr>
      <w:r>
        <w:rPr>
          <w:rFonts w:ascii="Arial" w:hAnsi="Arial" w:cs="Arial"/>
          <w:b/>
          <w:bCs/>
          <w:color w:val="auto"/>
          <w:sz w:val="44"/>
          <w:szCs w:val="44"/>
          <w:highlight w:val="none"/>
        </w:rPr>
        <w:t>响应文件</w:t>
      </w:r>
    </w:p>
    <w:p>
      <w:pPr>
        <w:snapToGrid w:val="0"/>
        <w:spacing w:before="120" w:beforeLines="50" w:after="50" w:line="360" w:lineRule="exact"/>
        <w:rPr>
          <w:rFonts w:ascii="Arial" w:hAnsi="Arial" w:cs="Arial"/>
          <w:bCs/>
          <w:color w:val="auto"/>
          <w:sz w:val="24"/>
          <w:highlight w:val="none"/>
        </w:rPr>
      </w:pP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 xml:space="preserve">项目名称： </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项目编号：</w:t>
      </w:r>
    </w:p>
    <w:p>
      <w:pPr>
        <w:snapToGrid w:val="0"/>
        <w:spacing w:before="120" w:beforeLines="50" w:after="50" w:line="440" w:lineRule="exact"/>
        <w:ind w:firstLine="720" w:firstLineChars="300"/>
        <w:rPr>
          <w:rFonts w:ascii="Arial" w:hAnsi="Arial" w:cs="Arial"/>
          <w:bCs/>
          <w:color w:val="auto"/>
          <w:sz w:val="24"/>
          <w:highlight w:val="none"/>
        </w:rPr>
      </w:pPr>
      <w:r>
        <w:rPr>
          <w:rFonts w:ascii="Arial" w:hAnsi="Arial" w:cs="Arial"/>
          <w:bCs/>
          <w:color w:val="auto"/>
          <w:sz w:val="24"/>
          <w:highlight w:val="none"/>
        </w:rPr>
        <w:t>分标号：</w:t>
      </w:r>
      <w:r>
        <w:rPr>
          <w:rFonts w:hint="eastAsia" w:ascii="Arial" w:hAnsi="Arial" w:cs="Arial"/>
          <w:bCs/>
          <w:color w:val="auto"/>
          <w:sz w:val="24"/>
          <w:highlight w:val="none"/>
        </w:rPr>
        <w:t xml:space="preserve"> （如有则填写，无分标时填写“无”或者留空）</w:t>
      </w:r>
    </w:p>
    <w:p>
      <w:pPr>
        <w:pStyle w:val="7"/>
        <w:snapToGrid w:val="0"/>
        <w:spacing w:before="50" w:after="50" w:line="440" w:lineRule="exact"/>
        <w:ind w:firstLine="720" w:firstLineChars="300"/>
        <w:rPr>
          <w:rFonts w:ascii="Arial" w:hAnsi="Arial" w:cs="Arial"/>
          <w:bCs/>
          <w:color w:val="auto"/>
          <w:sz w:val="24"/>
          <w:szCs w:val="24"/>
          <w:highlight w:val="none"/>
        </w:rPr>
      </w:pPr>
      <w:r>
        <w:rPr>
          <w:rFonts w:ascii="Arial" w:hAnsi="Arial" w:cs="Arial"/>
          <w:bCs/>
          <w:color w:val="auto"/>
          <w:sz w:val="24"/>
          <w:szCs w:val="24"/>
          <w:highlight w:val="none"/>
        </w:rPr>
        <w:t>响应文件名称：资格审查文件、商务文件、技术文件、报价文件</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供应商名称：</w:t>
      </w:r>
    </w:p>
    <w:p>
      <w:pPr>
        <w:snapToGrid w:val="0"/>
        <w:spacing w:before="120" w:beforeLines="50" w:after="50" w:line="360" w:lineRule="exact"/>
        <w:ind w:firstLine="720" w:firstLineChars="300"/>
        <w:rPr>
          <w:rFonts w:ascii="Arial" w:hAnsi="Arial" w:cs="Arial"/>
          <w:bCs/>
          <w:color w:val="auto"/>
          <w:sz w:val="24"/>
          <w:highlight w:val="none"/>
        </w:rPr>
      </w:pPr>
      <w:r>
        <w:rPr>
          <w:rFonts w:ascii="Arial" w:hAnsi="Arial" w:cs="Arial"/>
          <w:bCs/>
          <w:color w:val="auto"/>
          <w:sz w:val="24"/>
          <w:highlight w:val="none"/>
        </w:rPr>
        <w:t>供应商地址：</w:t>
      </w:r>
    </w:p>
    <w:p>
      <w:pPr>
        <w:pStyle w:val="7"/>
        <w:snapToGrid w:val="0"/>
        <w:spacing w:before="50" w:after="50" w:line="360" w:lineRule="exact"/>
        <w:ind w:firstLine="960" w:firstLineChars="400"/>
        <w:rPr>
          <w:rFonts w:ascii="Arial" w:hAnsi="Arial" w:cs="Arial"/>
          <w:bCs/>
          <w:color w:val="auto"/>
          <w:sz w:val="24"/>
          <w:szCs w:val="24"/>
          <w:highlight w:val="none"/>
        </w:rPr>
      </w:pPr>
    </w:p>
    <w:p>
      <w:pPr>
        <w:snapToGrid w:val="0"/>
        <w:spacing w:before="120" w:beforeLines="50" w:after="50" w:line="360" w:lineRule="exact"/>
        <w:jc w:val="center"/>
        <w:rPr>
          <w:rFonts w:ascii="Arial" w:hAnsi="Arial" w:cs="Arial"/>
          <w:color w:val="auto"/>
          <w:sz w:val="24"/>
          <w:highlight w:val="none"/>
        </w:rPr>
      </w:pPr>
      <w:r>
        <w:rPr>
          <w:rFonts w:ascii="Arial" w:hAnsi="Arial" w:cs="Arial"/>
          <w:color w:val="auto"/>
          <w:sz w:val="24"/>
          <w:highlight w:val="none"/>
        </w:rPr>
        <w:t xml:space="preserve">                        年  月  日</w:t>
      </w:r>
    </w:p>
    <w:p>
      <w:pPr>
        <w:snapToGrid w:val="0"/>
        <w:spacing w:before="50" w:after="50" w:line="440" w:lineRule="exact"/>
        <w:rPr>
          <w:rFonts w:ascii="Arial" w:hAnsi="Arial" w:cs="Arial"/>
          <w:b/>
          <w:color w:val="auto"/>
          <w:sz w:val="24"/>
          <w:highlight w:val="none"/>
        </w:rPr>
      </w:pPr>
      <w:r>
        <w:rPr>
          <w:rFonts w:ascii="Arial" w:hAnsi="Arial" w:cs="Arial"/>
          <w:b/>
          <w:color w:val="auto"/>
          <w:sz w:val="24"/>
          <w:highlight w:val="none"/>
        </w:rPr>
        <w:t xml:space="preserve"> </w:t>
      </w:r>
    </w:p>
    <w:p>
      <w:pPr>
        <w:rPr>
          <w:rFonts w:ascii="Arial" w:hAnsi="Arial" w:cs="Arial"/>
          <w:color w:val="auto"/>
          <w:highlight w:val="none"/>
        </w:rPr>
      </w:pPr>
      <w:r>
        <w:rPr>
          <w:rFonts w:ascii="Arial" w:hAnsi="Arial" w:cs="Arial"/>
          <w:color w:val="auto"/>
          <w:highlight w:val="none"/>
        </w:rPr>
        <w:t xml:space="preserve"> </w:t>
      </w:r>
    </w:p>
    <w:p>
      <w:pPr>
        <w:snapToGrid w:val="0"/>
        <w:spacing w:before="120" w:beforeLines="50" w:after="50" w:line="440" w:lineRule="exact"/>
        <w:jc w:val="center"/>
        <w:rPr>
          <w:rFonts w:ascii="Arial" w:hAnsi="Arial" w:cs="Arial"/>
          <w:b/>
          <w:bCs/>
          <w:color w:val="auto"/>
          <w:sz w:val="24"/>
          <w:highlight w:val="none"/>
        </w:rPr>
      </w:pPr>
      <w:bookmarkStart w:id="39" w:name="_Toc254970557"/>
      <w:bookmarkStart w:id="40" w:name="_Toc254970698"/>
      <w:r>
        <w:rPr>
          <w:rFonts w:ascii="Arial" w:hAnsi="Arial" w:cs="Arial"/>
          <w:color w:val="auto"/>
          <w:sz w:val="24"/>
          <w:highlight w:val="none"/>
        </w:rPr>
        <w:br w:type="page"/>
      </w:r>
      <w:bookmarkEnd w:id="39"/>
      <w:bookmarkEnd w:id="40"/>
    </w:p>
    <w:p>
      <w:pPr>
        <w:snapToGrid w:val="0"/>
        <w:spacing w:before="120" w:beforeLines="50" w:after="50" w:line="440" w:lineRule="exact"/>
        <w:jc w:val="center"/>
        <w:rPr>
          <w:rFonts w:ascii="Arial" w:hAnsi="Arial" w:cs="Arial"/>
          <w:color w:val="auto"/>
          <w:sz w:val="24"/>
          <w:highlight w:val="none"/>
        </w:rPr>
      </w:pPr>
    </w:p>
    <w:p>
      <w:pPr>
        <w:snapToGrid w:val="0"/>
        <w:spacing w:before="50" w:after="50" w:line="440" w:lineRule="exact"/>
        <w:ind w:firstLine="138" w:firstLineChars="49"/>
        <w:jc w:val="center"/>
        <w:rPr>
          <w:rFonts w:ascii="Arial" w:hAnsi="Arial" w:cs="Arial"/>
          <w:b/>
          <w:color w:val="auto"/>
          <w:sz w:val="28"/>
          <w:szCs w:val="28"/>
          <w:highlight w:val="none"/>
        </w:rPr>
      </w:pPr>
      <w:r>
        <w:rPr>
          <w:rFonts w:ascii="Arial" w:hAnsi="Arial" w:cs="Arial"/>
          <w:b/>
          <w:color w:val="auto"/>
          <w:sz w:val="28"/>
          <w:szCs w:val="28"/>
          <w:highlight w:val="none"/>
        </w:rPr>
        <w:t>目录</w:t>
      </w:r>
    </w:p>
    <w:p>
      <w:pPr>
        <w:snapToGrid w:val="0"/>
        <w:spacing w:before="50" w:after="50" w:line="440" w:lineRule="exact"/>
        <w:ind w:firstLine="118" w:firstLineChars="49"/>
        <w:jc w:val="center"/>
        <w:rPr>
          <w:rFonts w:ascii="Arial" w:hAnsi="Arial" w:cs="Arial"/>
          <w:b/>
          <w:color w:val="auto"/>
          <w:sz w:val="24"/>
          <w:highlight w:val="none"/>
        </w:rPr>
      </w:pPr>
      <w:r>
        <w:rPr>
          <w:rFonts w:ascii="Arial" w:hAnsi="Arial" w:cs="Arial"/>
          <w:b/>
          <w:color w:val="auto"/>
          <w:sz w:val="24"/>
          <w:highlight w:val="none"/>
        </w:rPr>
        <w:t>（需有页码）</w:t>
      </w:r>
    </w:p>
    <w:p>
      <w:pPr>
        <w:snapToGrid w:val="0"/>
        <w:spacing w:before="120" w:beforeLines="50" w:after="50" w:line="440" w:lineRule="exact"/>
        <w:jc w:val="center"/>
        <w:outlineLvl w:val="1"/>
        <w:rPr>
          <w:rFonts w:ascii="Arial" w:hAnsi="Arial" w:cs="Arial"/>
          <w:bCs/>
          <w:color w:val="auto"/>
          <w:sz w:val="24"/>
          <w:highlight w:val="none"/>
        </w:rPr>
      </w:pPr>
      <w:r>
        <w:rPr>
          <w:rFonts w:ascii="Arial" w:hAnsi="Arial" w:cs="Arial"/>
          <w:b/>
          <w:color w:val="auto"/>
          <w:sz w:val="24"/>
          <w:highlight w:val="none"/>
        </w:rPr>
        <w:br w:type="page"/>
      </w:r>
      <w:r>
        <w:rPr>
          <w:rFonts w:ascii="Arial" w:hAnsi="Arial" w:cs="Arial"/>
          <w:b/>
          <w:color w:val="auto"/>
          <w:sz w:val="24"/>
          <w:highlight w:val="none"/>
        </w:rPr>
        <w:t>第一部分 资格审查文件</w:t>
      </w:r>
    </w:p>
    <w:p>
      <w:pPr>
        <w:snapToGrid w:val="0"/>
        <w:spacing w:before="50" w:after="50" w:line="440" w:lineRule="exact"/>
        <w:ind w:firstLine="157" w:firstLineChars="49"/>
        <w:jc w:val="center"/>
        <w:rPr>
          <w:rStyle w:val="53"/>
          <w:rFonts w:eastAsia="宋体" w:cs="Arial"/>
          <w:color w:val="auto"/>
          <w:highlight w:val="none"/>
        </w:rPr>
      </w:pPr>
    </w:p>
    <w:p>
      <w:pPr>
        <w:snapToGrid w:val="0"/>
        <w:spacing w:before="50" w:after="120" w:afterLines="50" w:line="400" w:lineRule="exact"/>
        <w:jc w:val="left"/>
        <w:rPr>
          <w:rFonts w:ascii="Arial" w:hAnsi="Arial" w:cs="Arial"/>
          <w:b/>
          <w:color w:val="auto"/>
          <w:szCs w:val="21"/>
          <w:highlight w:val="none"/>
        </w:rPr>
      </w:pPr>
      <w:r>
        <w:rPr>
          <w:rFonts w:ascii="Arial" w:hAnsi="Arial" w:cs="Arial"/>
          <w:b/>
          <w:color w:val="auto"/>
          <w:szCs w:val="21"/>
          <w:highlight w:val="none"/>
        </w:rPr>
        <w:t>1．响应声明书格式（必须提供）：</w:t>
      </w:r>
    </w:p>
    <w:p>
      <w:pPr>
        <w:snapToGrid w:val="0"/>
        <w:spacing w:before="120" w:beforeLines="50" w:after="50" w:line="360" w:lineRule="exact"/>
        <w:jc w:val="center"/>
        <w:rPr>
          <w:rFonts w:ascii="Arial" w:hAnsi="Arial" w:cs="Arial"/>
          <w:b/>
          <w:color w:val="auto"/>
          <w:szCs w:val="21"/>
          <w:highlight w:val="none"/>
        </w:rPr>
      </w:pPr>
    </w:p>
    <w:p>
      <w:pPr>
        <w:snapToGrid w:val="0"/>
        <w:spacing w:before="120"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响应声明书</w:t>
      </w:r>
    </w:p>
    <w:p>
      <w:pPr>
        <w:snapToGrid w:val="0"/>
        <w:spacing w:before="120" w:beforeLines="50" w:after="50" w:line="360" w:lineRule="exact"/>
        <w:rPr>
          <w:rFonts w:ascii="Arial" w:hAnsi="Arial" w:cs="Arial"/>
          <w:color w:val="auto"/>
          <w:szCs w:val="21"/>
          <w:highlight w:val="none"/>
        </w:rPr>
      </w:pPr>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pPr>
        <w:snapToGrid w:val="0"/>
        <w:spacing w:before="120"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  </w:t>
      </w:r>
      <w:r>
        <w:rPr>
          <w:rFonts w:ascii="Arial" w:hAnsi="Arial" w:cs="Arial"/>
          <w:color w:val="auto"/>
          <w:szCs w:val="21"/>
          <w:highlight w:val="none"/>
          <w:u w:val="single"/>
        </w:rPr>
        <w:t xml:space="preserve">  </w:t>
      </w:r>
      <w:r>
        <w:rPr>
          <w:rFonts w:ascii="Arial" w:hAnsi="Arial" w:cs="Arial"/>
          <w:color w:val="auto"/>
          <w:szCs w:val="21"/>
          <w:highlight w:val="none"/>
        </w:rPr>
        <w:t>。</w:t>
      </w:r>
    </w:p>
    <w:p>
      <w:pPr>
        <w:snapToGrid w:val="0"/>
        <w:spacing w:before="120"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的法定代表人，我方愿意参加贵方组织的</w:t>
      </w:r>
      <w:r>
        <w:rPr>
          <w:rFonts w:ascii="Arial" w:hAnsi="Arial" w:cs="Arial"/>
          <w:i/>
          <w:iCs/>
          <w:color w:val="auto"/>
          <w:szCs w:val="21"/>
          <w:highlight w:val="none"/>
          <w:u w:val="single"/>
        </w:rPr>
        <w:t>（项目名称）</w:t>
      </w:r>
      <w:r>
        <w:rPr>
          <w:rFonts w:hint="eastAsia" w:ascii="Arial" w:hAnsi="Arial" w:cs="Arial"/>
          <w:i/>
          <w:iCs/>
          <w:color w:val="auto"/>
          <w:szCs w:val="21"/>
          <w:highlight w:val="none"/>
          <w:u w:val="single"/>
        </w:rPr>
        <w:t xml:space="preserve"> 分标 </w:t>
      </w:r>
      <w:r>
        <w:rPr>
          <w:rFonts w:ascii="Arial" w:hAnsi="Arial" w:cs="Arial"/>
          <w:color w:val="auto"/>
          <w:szCs w:val="21"/>
          <w:highlight w:val="none"/>
        </w:rPr>
        <w:t xml:space="preserve">项目的谈判，为便于贵方公正、择优地确定成交供应商及其响应产品和服务，我方就本次谈判有关事项郑重声明如下： </w:t>
      </w:r>
    </w:p>
    <w:p>
      <w:pPr>
        <w:snapToGrid w:val="0"/>
        <w:spacing w:before="120" w:beforeLines="50" w:line="360" w:lineRule="exact"/>
        <w:ind w:firstLine="420" w:firstLineChars="200"/>
        <w:rPr>
          <w:rFonts w:ascii="Arial" w:hAnsi="Arial" w:cs="Arial"/>
          <w:color w:val="auto"/>
          <w:szCs w:val="21"/>
          <w:highlight w:val="none"/>
        </w:rPr>
      </w:pPr>
      <w:bookmarkStart w:id="41" w:name="_Hlk51062290"/>
      <w:r>
        <w:rPr>
          <w:rFonts w:ascii="Arial" w:hAnsi="Arial" w:cs="Arial"/>
          <w:color w:val="auto"/>
          <w:szCs w:val="21"/>
          <w:highlight w:val="none"/>
        </w:rPr>
        <w:t>（1）我方向贵方提交的所有响应文件、资料都是准确的和真实的。</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 我方承诺在参加本采购项目活动前，没有被纳入部门或银行认定的失信名单，我方具有良好的商业信誉。</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w:t>
      </w:r>
      <w:bookmarkStart w:id="42" w:name="_Hlk109986556"/>
      <w:r>
        <w:rPr>
          <w:rFonts w:hint="eastAsia" w:ascii="Arial" w:hAnsi="Arial" w:cs="Arial"/>
          <w:color w:val="auto"/>
          <w:szCs w:val="21"/>
          <w:highlight w:val="none"/>
        </w:rPr>
        <w:t>相关法规中</w:t>
      </w:r>
      <w:bookmarkEnd w:id="42"/>
      <w:r>
        <w:rPr>
          <w:rFonts w:ascii="Arial" w:hAnsi="Arial" w:cs="Arial"/>
          <w:color w:val="auto"/>
          <w:szCs w:val="21"/>
          <w:highlight w:val="none"/>
        </w:rPr>
        <w:t>提供虚假材料的规定给予的处罚。</w:t>
      </w:r>
    </w:p>
    <w:p>
      <w:pPr>
        <w:snapToGrid w:val="0"/>
        <w:spacing w:before="120" w:beforeLines="50" w:line="360" w:lineRule="exact"/>
        <w:ind w:firstLine="420" w:firstLineChars="200"/>
        <w:rPr>
          <w:rFonts w:ascii="Arial" w:hAnsi="Arial" w:cs="Arial"/>
          <w:color w:val="auto"/>
          <w:szCs w:val="21"/>
          <w:highlight w:val="none"/>
          <w:lang w:val="zh-CN"/>
        </w:rPr>
      </w:pPr>
      <w:r>
        <w:rPr>
          <w:rFonts w:ascii="Arial" w:hAnsi="Arial" w:cs="Arial"/>
          <w:color w:val="auto"/>
          <w:szCs w:val="21"/>
          <w:highlight w:val="none"/>
        </w:rPr>
        <w:t>（5）</w:t>
      </w:r>
      <w:r>
        <w:rPr>
          <w:rFonts w:ascii="Arial" w:hAnsi="Arial" w:cs="Arial"/>
          <w:color w:val="auto"/>
          <w:szCs w:val="21"/>
          <w:highlight w:val="none"/>
          <w:lang w:val="zh-CN"/>
        </w:rPr>
        <w:t>我方</w:t>
      </w:r>
      <w:r>
        <w:rPr>
          <w:rFonts w:ascii="Arial" w:hAnsi="Arial" w:cs="Arial"/>
          <w:color w:val="auto"/>
          <w:szCs w:val="21"/>
          <w:highlight w:val="none"/>
        </w:rPr>
        <w:t>承诺</w:t>
      </w:r>
      <w:r>
        <w:rPr>
          <w:rFonts w:ascii="Arial" w:hAnsi="Arial" w:cs="Arial"/>
          <w:color w:val="auto"/>
          <w:szCs w:val="21"/>
          <w:highlight w:val="none"/>
          <w:lang w:val="zh-CN"/>
        </w:rPr>
        <w:t>具有履行本项目合同所必需的设备和专业技术能力。</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（6）我方承诺未被列入失信被执行人、重大税收违法失信主体，如我方提供的声明不实，则接受本次响应作为否决响应的处理。</w:t>
      </w:r>
    </w:p>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（7）我方承诺成交后按规定缴纳代理服务费。如未按时缴纳，贵方可不退还我方提交的谈判保证金，并从中扣除代理服务费。</w:t>
      </w:r>
    </w:p>
    <w:bookmarkEnd w:id="41"/>
    <w:p>
      <w:pPr>
        <w:snapToGrid w:val="0"/>
        <w:spacing w:before="120"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p>
      <w:pPr>
        <w:snapToGrid w:val="0"/>
        <w:spacing w:before="120" w:beforeLines="50" w:line="360" w:lineRule="exact"/>
        <w:ind w:firstLine="420" w:firstLineChars="200"/>
        <w:rPr>
          <w:rFonts w:ascii="Arial" w:hAnsi="Arial" w:cs="Arial"/>
          <w:color w:val="auto"/>
          <w:szCs w:val="21"/>
          <w:highlight w:val="none"/>
        </w:rPr>
      </w:pPr>
    </w:p>
    <w:p>
      <w:pPr>
        <w:snapToGrid w:val="0"/>
        <w:spacing w:before="120" w:beforeLines="50" w:line="360" w:lineRule="exact"/>
        <w:ind w:firstLine="3509" w:firstLineChars="1671"/>
        <w:rPr>
          <w:rFonts w:ascii="Arial" w:hAnsi="Arial" w:cs="Arial"/>
          <w:color w:val="auto"/>
          <w:szCs w:val="21"/>
          <w:highlight w:val="none"/>
          <w:u w:val="single"/>
        </w:rPr>
      </w:pPr>
      <w:r>
        <w:rPr>
          <w:rFonts w:ascii="Arial" w:hAnsi="Arial" w:cs="Arial"/>
          <w:color w:val="auto"/>
          <w:szCs w:val="21"/>
          <w:highlight w:val="none"/>
        </w:rPr>
        <w:t>法定代表人签名或盖章：</w:t>
      </w:r>
      <w:r>
        <w:rPr>
          <w:rFonts w:ascii="Arial" w:hAnsi="Arial" w:cs="Arial"/>
          <w:color w:val="auto"/>
          <w:szCs w:val="21"/>
          <w:highlight w:val="none"/>
          <w:u w:val="single"/>
        </w:rPr>
        <w:t xml:space="preserve">             </w:t>
      </w:r>
    </w:p>
    <w:p>
      <w:pPr>
        <w:snapToGrid w:val="0"/>
        <w:spacing w:before="120" w:beforeLines="50" w:after="50" w:line="360" w:lineRule="exact"/>
        <w:ind w:firstLine="3570" w:firstLineChars="1700"/>
        <w:rPr>
          <w:rFonts w:ascii="Arial" w:hAnsi="Arial" w:cs="Arial"/>
          <w:color w:val="auto"/>
          <w:szCs w:val="21"/>
          <w:highlight w:val="none"/>
        </w:rPr>
      </w:pPr>
      <w:r>
        <w:rPr>
          <w:rFonts w:ascii="Arial" w:hAnsi="Arial" w:cs="Arial"/>
          <w:color w:val="auto"/>
          <w:szCs w:val="21"/>
          <w:highlight w:val="none"/>
        </w:rPr>
        <w:t>供应商公章：</w:t>
      </w:r>
      <w:r>
        <w:rPr>
          <w:rFonts w:ascii="Arial" w:hAnsi="Arial" w:cs="Arial"/>
          <w:color w:val="auto"/>
          <w:szCs w:val="21"/>
          <w:highlight w:val="none"/>
          <w:u w:val="single"/>
        </w:rPr>
        <w:t xml:space="preserve">                </w:t>
      </w:r>
    </w:p>
    <w:p>
      <w:pPr>
        <w:snapToGrid w:val="0"/>
        <w:spacing w:before="120" w:beforeLines="50" w:after="50" w:line="360" w:lineRule="exact"/>
        <w:ind w:firstLine="210" w:firstLineChars="100"/>
        <w:rPr>
          <w:rFonts w:ascii="Arial" w:hAnsi="Arial" w:cs="Arial"/>
          <w:color w:val="auto"/>
          <w:szCs w:val="21"/>
          <w:highlight w:val="none"/>
        </w:rPr>
      </w:pPr>
      <w:r>
        <w:rPr>
          <w:rFonts w:ascii="Arial" w:hAnsi="Arial" w:cs="Arial"/>
          <w:color w:val="auto"/>
          <w:szCs w:val="21"/>
          <w:highlight w:val="none"/>
        </w:rPr>
        <w:t xml:space="preserve">                                          年    月    日</w:t>
      </w:r>
    </w:p>
    <w:p>
      <w:pPr>
        <w:snapToGrid w:val="0"/>
        <w:spacing w:before="120" w:beforeLines="50" w:after="50" w:line="360" w:lineRule="exact"/>
        <w:rPr>
          <w:rFonts w:ascii="Arial" w:hAnsi="Arial" w:cs="Arial"/>
          <w:b/>
          <w:color w:val="auto"/>
          <w:szCs w:val="21"/>
          <w:highlight w:val="none"/>
        </w:rPr>
        <w:sectPr>
          <w:headerReference r:id="rId13" w:type="default"/>
          <w:footerReference r:id="rId14" w:type="default"/>
          <w:pgSz w:w="11906" w:h="16838"/>
          <w:pgMar w:top="850" w:right="1134" w:bottom="850" w:left="1134" w:header="454" w:footer="454" w:gutter="0"/>
          <w:cols w:space="720" w:num="1"/>
          <w:docGrid w:linePitch="312" w:charSpace="0"/>
        </w:sectPr>
      </w:pPr>
      <w:bookmarkStart w:id="43" w:name="_Toc462320613"/>
      <w:bookmarkStart w:id="44" w:name="_Toc462223472"/>
      <w:bookmarkStart w:id="45" w:name="_Toc455309222"/>
    </w:p>
    <w:p>
      <w:pPr>
        <w:snapToGrid w:val="0"/>
        <w:spacing w:before="120" w:beforeLines="50" w:after="50" w:line="360" w:lineRule="exact"/>
        <w:rPr>
          <w:rFonts w:ascii="Arial" w:hAnsi="Arial" w:cs="Arial"/>
          <w:b/>
          <w:color w:val="auto"/>
          <w:szCs w:val="21"/>
          <w:highlight w:val="none"/>
        </w:rPr>
      </w:pPr>
      <w:r>
        <w:rPr>
          <w:rFonts w:ascii="Arial" w:hAnsi="Arial" w:cs="Arial"/>
          <w:b/>
          <w:color w:val="auto"/>
          <w:szCs w:val="21"/>
          <w:highlight w:val="none"/>
        </w:rPr>
        <w:t>2．法定代表人身份证明（无授权代表时必须提供）：</w:t>
      </w:r>
    </w:p>
    <w:p>
      <w:pPr>
        <w:snapToGrid w:val="0"/>
        <w:spacing w:before="120" w:beforeLines="50" w:after="50" w:line="360" w:lineRule="exact"/>
        <w:rPr>
          <w:rFonts w:ascii="Arial" w:hAnsi="Arial" w:cs="Arial"/>
          <w:color w:val="auto"/>
          <w:highlight w:val="none"/>
        </w:rPr>
      </w:pPr>
    </w:p>
    <w:p>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法定代表人身份证明</w:t>
      </w:r>
      <w:bookmarkEnd w:id="43"/>
      <w:bookmarkEnd w:id="44"/>
      <w:bookmarkEnd w:id="45"/>
    </w:p>
    <w:p>
      <w:pPr>
        <w:spacing w:line="360" w:lineRule="auto"/>
        <w:rPr>
          <w:rFonts w:ascii="Arial" w:hAnsi="Arial" w:cs="Arial"/>
          <w:color w:val="auto"/>
          <w:highlight w:val="none"/>
        </w:rPr>
      </w:pPr>
    </w:p>
    <w:p>
      <w:pPr>
        <w:spacing w:line="360" w:lineRule="auto"/>
        <w:rPr>
          <w:rFonts w:ascii="Arial" w:hAnsi="Arial" w:cs="Arial"/>
          <w:color w:val="auto"/>
          <w:highlight w:val="none"/>
        </w:rPr>
      </w:pPr>
    </w:p>
    <w:p>
      <w:pPr>
        <w:spacing w:line="540" w:lineRule="exact"/>
        <w:rPr>
          <w:rFonts w:ascii="Arial" w:hAnsi="Arial" w:cs="Arial"/>
          <w:color w:val="auto"/>
          <w:szCs w:val="21"/>
          <w:highlight w:val="none"/>
        </w:rPr>
      </w:pPr>
      <w:r>
        <w:rPr>
          <w:rFonts w:ascii="Arial" w:hAnsi="Arial" w:cs="Arial"/>
          <w:color w:val="auto"/>
          <w:szCs w:val="21"/>
          <w:highlight w:val="none"/>
        </w:rPr>
        <w:t>供应商名称：</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rPr>
      </w:pPr>
      <w:r>
        <w:rPr>
          <w:rFonts w:ascii="Arial" w:hAnsi="Arial" w:cs="Arial"/>
          <w:color w:val="auto"/>
          <w:szCs w:val="21"/>
          <w:highlight w:val="none"/>
        </w:rPr>
        <w:t>单位性质：</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u w:val="single"/>
        </w:rPr>
      </w:pPr>
      <w:r>
        <w:rPr>
          <w:rFonts w:ascii="Arial" w:hAnsi="Arial" w:cs="Arial"/>
          <w:color w:val="auto"/>
          <w:szCs w:val="21"/>
          <w:highlight w:val="none"/>
        </w:rPr>
        <w:t>成立时间：</w:t>
      </w:r>
      <w:r>
        <w:rPr>
          <w:rFonts w:ascii="Arial" w:hAnsi="Arial" w:cs="Arial"/>
          <w:color w:val="auto"/>
          <w:szCs w:val="21"/>
          <w:highlight w:val="none"/>
          <w:u w:val="single"/>
        </w:rPr>
        <w:t xml:space="preserve">          年        月        日</w:t>
      </w:r>
    </w:p>
    <w:p>
      <w:pPr>
        <w:spacing w:line="540" w:lineRule="exact"/>
        <w:rPr>
          <w:rFonts w:ascii="Arial" w:hAnsi="Arial" w:cs="Arial"/>
          <w:color w:val="auto"/>
          <w:szCs w:val="21"/>
          <w:highlight w:val="none"/>
        </w:rPr>
      </w:pPr>
      <w:r>
        <w:rPr>
          <w:rFonts w:ascii="Arial" w:hAnsi="Arial" w:cs="Arial"/>
          <w:color w:val="auto"/>
          <w:szCs w:val="21"/>
          <w:highlight w:val="none"/>
        </w:rPr>
        <w:t>经营期限：</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rPr>
      </w:pPr>
      <w:r>
        <w:rPr>
          <w:rFonts w:ascii="Arial" w:hAnsi="Arial" w:cs="Arial"/>
          <w:color w:val="auto"/>
          <w:szCs w:val="21"/>
          <w:highlight w:val="none"/>
        </w:rPr>
        <w:t>姓名：</w:t>
      </w:r>
      <w:r>
        <w:rPr>
          <w:rFonts w:ascii="Arial" w:hAnsi="Arial" w:cs="Arial"/>
          <w:color w:val="auto"/>
          <w:szCs w:val="21"/>
          <w:highlight w:val="none"/>
          <w:u w:val="single"/>
        </w:rPr>
        <w:t xml:space="preserve">                   </w:t>
      </w:r>
      <w:r>
        <w:rPr>
          <w:rFonts w:ascii="Arial" w:hAnsi="Arial" w:cs="Arial"/>
          <w:color w:val="auto"/>
          <w:szCs w:val="21"/>
          <w:highlight w:val="none"/>
        </w:rPr>
        <w:t>；性别：</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pPr>
        <w:spacing w:line="540" w:lineRule="exact"/>
        <w:rPr>
          <w:rFonts w:ascii="Arial" w:hAnsi="Arial" w:cs="Arial"/>
          <w:color w:val="auto"/>
          <w:szCs w:val="21"/>
          <w:highlight w:val="none"/>
        </w:rPr>
      </w:pPr>
      <w:r>
        <w:rPr>
          <w:rFonts w:ascii="Arial" w:hAnsi="Arial" w:cs="Arial"/>
          <w:color w:val="auto"/>
          <w:szCs w:val="21"/>
          <w:highlight w:val="none"/>
        </w:rPr>
        <w:t>年龄：</w:t>
      </w:r>
      <w:r>
        <w:rPr>
          <w:rFonts w:ascii="Arial" w:hAnsi="Arial" w:cs="Arial"/>
          <w:color w:val="auto"/>
          <w:szCs w:val="21"/>
          <w:highlight w:val="none"/>
          <w:u w:val="single"/>
        </w:rPr>
        <w:t xml:space="preserve">         </w:t>
      </w:r>
      <w:r>
        <w:rPr>
          <w:rFonts w:ascii="Arial" w:hAnsi="Arial" w:cs="Arial"/>
          <w:color w:val="auto"/>
          <w:szCs w:val="21"/>
          <w:highlight w:val="none"/>
        </w:rPr>
        <w:t>；职务：</w:t>
      </w:r>
      <w:r>
        <w:rPr>
          <w:rFonts w:ascii="Arial" w:hAnsi="Arial" w:cs="Arial"/>
          <w:color w:val="auto"/>
          <w:szCs w:val="21"/>
          <w:highlight w:val="none"/>
          <w:u w:val="single"/>
        </w:rPr>
        <w:t xml:space="preserve">              </w:t>
      </w:r>
      <w:r>
        <w:rPr>
          <w:rFonts w:ascii="Arial" w:hAnsi="Arial" w:cs="Arial"/>
          <w:color w:val="auto"/>
          <w:szCs w:val="21"/>
          <w:highlight w:val="none"/>
        </w:rPr>
        <w:t>；身份证：</w:t>
      </w:r>
      <w:r>
        <w:rPr>
          <w:rFonts w:ascii="Arial" w:hAnsi="Arial" w:cs="Arial"/>
          <w:color w:val="auto"/>
          <w:szCs w:val="21"/>
          <w:highlight w:val="none"/>
          <w:u w:val="single"/>
        </w:rPr>
        <w:t xml:space="preserve">                                      </w:t>
      </w:r>
    </w:p>
    <w:p>
      <w:pPr>
        <w:spacing w:line="540" w:lineRule="exact"/>
        <w:rPr>
          <w:rFonts w:ascii="Arial" w:hAnsi="Arial" w:cs="Arial"/>
          <w:color w:val="auto"/>
          <w:szCs w:val="21"/>
          <w:highlight w:val="none"/>
        </w:rPr>
      </w:pPr>
      <w:r>
        <w:rPr>
          <w:rFonts w:ascii="Arial" w:hAnsi="Arial" w:cs="Arial"/>
          <w:color w:val="auto"/>
          <w:szCs w:val="21"/>
          <w:highlight w:val="none"/>
        </w:rPr>
        <w:t>系</w:t>
      </w:r>
      <w:r>
        <w:rPr>
          <w:rFonts w:ascii="Arial" w:hAnsi="Arial" w:cs="Arial"/>
          <w:color w:val="auto"/>
          <w:szCs w:val="21"/>
          <w:highlight w:val="none"/>
          <w:u w:val="single"/>
        </w:rPr>
        <w:t xml:space="preserve">                                      （ 供应商名称）</w:t>
      </w:r>
      <w:r>
        <w:rPr>
          <w:rFonts w:ascii="Arial" w:hAnsi="Arial" w:cs="Arial"/>
          <w:color w:val="auto"/>
          <w:szCs w:val="21"/>
          <w:highlight w:val="none"/>
        </w:rPr>
        <w:t>的法定代表人。</w:t>
      </w:r>
    </w:p>
    <w:p>
      <w:pPr>
        <w:spacing w:line="540" w:lineRule="exact"/>
        <w:rPr>
          <w:rFonts w:ascii="Arial" w:hAnsi="Arial" w:cs="Arial"/>
          <w:color w:val="auto"/>
          <w:szCs w:val="21"/>
          <w:highlight w:val="none"/>
        </w:rPr>
      </w:pPr>
    </w:p>
    <w:p>
      <w:pPr>
        <w:spacing w:line="540" w:lineRule="exact"/>
        <w:ind w:firstLine="420" w:firstLineChars="200"/>
        <w:rPr>
          <w:rFonts w:ascii="Arial" w:hAnsi="Arial" w:cs="Arial"/>
          <w:color w:val="auto"/>
          <w:szCs w:val="21"/>
          <w:highlight w:val="none"/>
        </w:rPr>
      </w:pPr>
      <w:r>
        <w:rPr>
          <w:rFonts w:ascii="Arial" w:hAnsi="Arial" w:cs="Arial"/>
          <w:color w:val="auto"/>
          <w:szCs w:val="21"/>
          <w:highlight w:val="none"/>
        </w:rPr>
        <w:t>特此证明。</w:t>
      </w:r>
    </w:p>
    <w:p>
      <w:pPr>
        <w:spacing w:line="360" w:lineRule="auto"/>
        <w:ind w:firstLine="420" w:firstLineChars="200"/>
        <w:rPr>
          <w:rFonts w:ascii="Arial" w:hAnsi="Arial" w:cs="Arial"/>
          <w:color w:val="auto"/>
          <w:szCs w:val="21"/>
          <w:highlight w:val="none"/>
        </w:rPr>
      </w:pPr>
    </w:p>
    <w:p>
      <w:pPr>
        <w:spacing w:line="360" w:lineRule="auto"/>
        <w:ind w:firstLine="4830" w:firstLineChars="2300"/>
        <w:rPr>
          <w:rFonts w:ascii="Arial" w:hAnsi="Arial" w:cs="Arial"/>
          <w:color w:val="auto"/>
          <w:szCs w:val="21"/>
          <w:highlight w:val="none"/>
        </w:rPr>
      </w:pPr>
      <w:r>
        <w:rPr>
          <w:rFonts w:ascii="Arial" w:hAnsi="Arial" w:cs="Arial"/>
          <w:color w:val="auto"/>
          <w:szCs w:val="21"/>
          <w:highlight w:val="none"/>
        </w:rPr>
        <w:t>供应商公章：</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 xml:space="preserve">                                                   年       月       日 </w:t>
      </w:r>
    </w:p>
    <w:p>
      <w:pPr>
        <w:spacing w:line="360" w:lineRule="auto"/>
        <w:ind w:firstLine="420" w:firstLineChars="200"/>
        <w:rPr>
          <w:rFonts w:ascii="Arial" w:hAnsi="Arial" w:cs="Arial"/>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附件：1）法定代表人身份证复印件</w:t>
      </w: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p>
    <w:p>
      <w:pPr>
        <w:spacing w:line="360" w:lineRule="auto"/>
        <w:rPr>
          <w:rFonts w:ascii="Arial" w:hAnsi="Arial" w:cs="Arial"/>
          <w:color w:val="auto"/>
          <w:highlight w:val="none"/>
        </w:rPr>
      </w:pPr>
      <w:r>
        <w:rPr>
          <w:rFonts w:ascii="Arial" w:hAnsi="Arial" w:cs="Arial"/>
          <w:color w:val="auto"/>
          <w:highlight w:val="none"/>
        </w:rPr>
        <w:t>注：法定代表人亲自出席截标会议时，须随身携带本“法定代表人身份证明”原件一份以及身份证原件，以备核查。</w:t>
      </w:r>
    </w:p>
    <w:p>
      <w:pPr>
        <w:snapToGrid w:val="0"/>
        <w:spacing w:before="120" w:beforeLines="50" w:after="50" w:line="360" w:lineRule="exact"/>
        <w:rPr>
          <w:rFonts w:ascii="Arial" w:hAnsi="Arial" w:cs="Arial"/>
          <w:b/>
          <w:color w:val="auto"/>
          <w:szCs w:val="21"/>
          <w:highlight w:val="none"/>
        </w:rPr>
      </w:pPr>
      <w:r>
        <w:rPr>
          <w:rFonts w:ascii="Arial" w:hAnsi="Arial" w:cs="Arial"/>
          <w:b/>
          <w:color w:val="auto"/>
          <w:szCs w:val="21"/>
          <w:highlight w:val="none"/>
        </w:rPr>
        <w:br w:type="page"/>
      </w:r>
      <w:r>
        <w:rPr>
          <w:rFonts w:ascii="Arial" w:hAnsi="Arial" w:cs="Arial"/>
          <w:b/>
          <w:color w:val="auto"/>
          <w:szCs w:val="21"/>
          <w:highlight w:val="none"/>
        </w:rPr>
        <w:t>2．法定代表授权委托书（有授权代表时必须提供）：</w:t>
      </w:r>
    </w:p>
    <w:p>
      <w:pPr>
        <w:snapToGrid w:val="0"/>
        <w:spacing w:before="120" w:beforeLines="50" w:after="50" w:line="360" w:lineRule="exact"/>
        <w:rPr>
          <w:rFonts w:ascii="Arial" w:hAnsi="Arial" w:cs="Arial"/>
          <w:b/>
          <w:color w:val="auto"/>
          <w:szCs w:val="21"/>
          <w:highlight w:val="none"/>
        </w:rPr>
      </w:pPr>
    </w:p>
    <w:p>
      <w:pPr>
        <w:snapToGrid w:val="0"/>
        <w:spacing w:before="120" w:beforeLines="50" w:after="50" w:line="440" w:lineRule="exact"/>
        <w:jc w:val="center"/>
        <w:rPr>
          <w:rFonts w:ascii="Arial" w:hAnsi="Arial" w:cs="Arial"/>
          <w:b/>
          <w:color w:val="auto"/>
          <w:szCs w:val="21"/>
          <w:highlight w:val="none"/>
        </w:rPr>
      </w:pPr>
      <w:r>
        <w:rPr>
          <w:rFonts w:ascii="Arial" w:hAnsi="Arial" w:cs="Arial"/>
          <w:b/>
          <w:color w:val="auto"/>
          <w:szCs w:val="21"/>
          <w:highlight w:val="none"/>
        </w:rPr>
        <w:t>法定代表人授权委托书</w:t>
      </w:r>
    </w:p>
    <w:p>
      <w:pPr>
        <w:snapToGrid w:val="0"/>
        <w:spacing w:before="120" w:beforeLines="50" w:after="50" w:line="440" w:lineRule="exact"/>
        <w:rPr>
          <w:rFonts w:ascii="Arial" w:hAnsi="Arial" w:cs="Arial"/>
          <w:bCs/>
          <w:color w:val="auto"/>
          <w:szCs w:val="21"/>
          <w:highlight w:val="none"/>
        </w:rPr>
      </w:pPr>
    </w:p>
    <w:p>
      <w:pPr>
        <w:snapToGrid w:val="0"/>
        <w:spacing w:before="120" w:beforeLines="50" w:after="50" w:line="440" w:lineRule="exact"/>
        <w:rPr>
          <w:rFonts w:ascii="Arial" w:hAnsi="Arial" w:cs="Arial"/>
          <w:b/>
          <w:bCs/>
          <w:color w:val="auto"/>
          <w:szCs w:val="21"/>
          <w:highlight w:val="none"/>
        </w:rPr>
      </w:pPr>
      <w:bookmarkStart w:id="46" w:name="_Hlk21623528"/>
      <w:r>
        <w:rPr>
          <w:rFonts w:ascii="Arial" w:hAnsi="Arial" w:cs="Arial"/>
          <w:bCs/>
          <w:color w:val="auto"/>
          <w:szCs w:val="21"/>
          <w:highlight w:val="none"/>
        </w:rPr>
        <w:t>致：</w:t>
      </w:r>
      <w:r>
        <w:rPr>
          <w:rFonts w:ascii="Arial" w:hAnsi="Arial" w:cs="Arial"/>
          <w:i/>
          <w:iCs/>
          <w:color w:val="auto"/>
          <w:szCs w:val="21"/>
          <w:highlight w:val="none"/>
          <w:u w:val="single"/>
        </w:rPr>
        <w:t>（采购人名称）</w:t>
      </w:r>
    </w:p>
    <w:p>
      <w:pPr>
        <w:snapToGrid w:val="0"/>
        <w:spacing w:before="120" w:beforeLines="50" w:after="50" w:line="440" w:lineRule="exact"/>
        <w:ind w:firstLine="420" w:firstLineChars="200"/>
        <w:rPr>
          <w:rFonts w:ascii="Arial" w:hAnsi="Arial" w:cs="Arial"/>
          <w:color w:val="auto"/>
          <w:szCs w:val="21"/>
          <w:highlight w:val="none"/>
        </w:rPr>
      </w:pPr>
      <w:r>
        <w:rPr>
          <w:rFonts w:ascii="Arial" w:hAnsi="Arial" w:cs="Arial"/>
          <w:color w:val="auto"/>
          <w:szCs w:val="21"/>
          <w:highlight w:val="none"/>
        </w:rPr>
        <w:t xml:space="preserve">我 </w:t>
      </w:r>
      <w:r>
        <w:rPr>
          <w:rFonts w:ascii="Arial" w:hAnsi="Arial" w:cs="Arial"/>
          <w:i/>
          <w:iCs/>
          <w:color w:val="auto"/>
          <w:szCs w:val="21"/>
          <w:highlight w:val="none"/>
          <w:u w:val="single"/>
        </w:rPr>
        <w:t>（姓名）</w:t>
      </w:r>
      <w:r>
        <w:rPr>
          <w:rFonts w:ascii="Arial" w:hAnsi="Arial" w:cs="Arial"/>
          <w:color w:val="auto"/>
          <w:szCs w:val="21"/>
          <w:highlight w:val="none"/>
          <w:u w:val="single"/>
        </w:rPr>
        <w:t xml:space="preserve">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的法定代表人，现授权委托本单位在职职工</w:t>
      </w:r>
      <w:r>
        <w:rPr>
          <w:rFonts w:ascii="Arial" w:hAnsi="Arial" w:cs="Arial"/>
          <w:i/>
          <w:iCs/>
          <w:color w:val="auto"/>
          <w:szCs w:val="21"/>
          <w:highlight w:val="none"/>
          <w:u w:val="single"/>
        </w:rPr>
        <w:t>（姓名）</w:t>
      </w:r>
      <w:r>
        <w:rPr>
          <w:rFonts w:ascii="Arial" w:hAnsi="Arial" w:cs="Arial"/>
          <w:color w:val="auto"/>
          <w:szCs w:val="21"/>
          <w:highlight w:val="none"/>
        </w:rPr>
        <w:t>以我方的名义参加</w:t>
      </w:r>
      <w:r>
        <w:rPr>
          <w:rFonts w:ascii="Arial" w:hAnsi="Arial" w:cs="Arial"/>
          <w:i/>
          <w:iCs/>
          <w:color w:val="auto"/>
          <w:szCs w:val="21"/>
          <w:highlight w:val="none"/>
          <w:u w:val="single"/>
        </w:rPr>
        <w:t>（项目名称 ）</w:t>
      </w:r>
      <w:r>
        <w:rPr>
          <w:rFonts w:hint="eastAsia" w:ascii="Arial" w:hAnsi="Arial" w:cs="Arial"/>
          <w:i/>
          <w:iCs/>
          <w:color w:val="auto"/>
          <w:szCs w:val="21"/>
          <w:highlight w:val="none"/>
          <w:u w:val="single"/>
        </w:rPr>
        <w:t xml:space="preserve">  分标 </w:t>
      </w:r>
      <w:r>
        <w:rPr>
          <w:rFonts w:ascii="Arial" w:hAnsi="Arial" w:cs="Arial"/>
          <w:color w:val="auto"/>
          <w:szCs w:val="21"/>
          <w:highlight w:val="none"/>
        </w:rPr>
        <w:t>项目的谈判活动，并代表我方全权办理针对上述项目的谈判、截标、评审、签约等具体事务和签署相关文件。</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 xml:space="preserve">    我方对被授权人的签名事项负全部责任。</w:t>
      </w:r>
    </w:p>
    <w:p>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在撤销授权的书面通知以前，本授权书一直有效。被授权人在授权书有效期内签署的所有文件不因授权的撤销而失效。</w:t>
      </w:r>
    </w:p>
    <w:p>
      <w:pPr>
        <w:snapToGrid w:val="0"/>
        <w:spacing w:before="120" w:beforeLines="50" w:after="50" w:line="440" w:lineRule="exact"/>
        <w:ind w:firstLine="480"/>
        <w:rPr>
          <w:rFonts w:ascii="Arial" w:hAnsi="Arial" w:cs="Arial"/>
          <w:color w:val="auto"/>
          <w:szCs w:val="21"/>
          <w:highlight w:val="none"/>
        </w:rPr>
      </w:pPr>
      <w:r>
        <w:rPr>
          <w:rFonts w:ascii="Arial" w:hAnsi="Arial" w:cs="Arial"/>
          <w:color w:val="auto"/>
          <w:szCs w:val="21"/>
          <w:highlight w:val="none"/>
        </w:rPr>
        <w:t>被授权人无转委托权，特此委托。</w:t>
      </w:r>
    </w:p>
    <w:p>
      <w:pPr>
        <w:snapToGrid w:val="0"/>
        <w:spacing w:before="120" w:beforeLines="50" w:after="50" w:line="440" w:lineRule="exact"/>
        <w:rPr>
          <w:rFonts w:ascii="Arial" w:hAnsi="Arial" w:cs="Arial"/>
          <w:color w:val="auto"/>
          <w:szCs w:val="21"/>
          <w:highlight w:val="none"/>
          <w:u w:val="single"/>
        </w:rPr>
      </w:pPr>
      <w:r>
        <w:rPr>
          <w:rFonts w:ascii="Arial" w:hAnsi="Arial" w:cs="Arial"/>
          <w:color w:val="auto"/>
          <w:szCs w:val="21"/>
          <w:highlight w:val="none"/>
        </w:rPr>
        <w:t>被授权人签名或盖章：</w:t>
      </w:r>
      <w:r>
        <w:rPr>
          <w:rFonts w:ascii="Arial" w:hAnsi="Arial" w:cs="Arial"/>
          <w:color w:val="auto"/>
          <w:szCs w:val="21"/>
          <w:highlight w:val="none"/>
          <w:u w:val="single"/>
        </w:rPr>
        <w:t xml:space="preserve">          </w:t>
      </w:r>
      <w:r>
        <w:rPr>
          <w:rFonts w:ascii="Arial" w:hAnsi="Arial" w:cs="Arial"/>
          <w:color w:val="auto"/>
          <w:szCs w:val="21"/>
          <w:highlight w:val="none"/>
        </w:rPr>
        <w:t xml:space="preserve">                           法定代表人签名或盖章：</w:t>
      </w:r>
      <w:r>
        <w:rPr>
          <w:rFonts w:ascii="Arial" w:hAnsi="Arial" w:cs="Arial"/>
          <w:color w:val="auto"/>
          <w:szCs w:val="21"/>
          <w:highlight w:val="none"/>
          <w:u w:val="single"/>
        </w:rPr>
        <w:t xml:space="preserve">          </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职务：</w:t>
      </w:r>
      <w:r>
        <w:rPr>
          <w:rFonts w:ascii="Arial" w:hAnsi="Arial" w:cs="Arial"/>
          <w:color w:val="auto"/>
          <w:szCs w:val="21"/>
          <w:highlight w:val="none"/>
          <w:u w:val="single"/>
        </w:rPr>
        <w:t xml:space="preserve">           </w:t>
      </w:r>
      <w:r>
        <w:rPr>
          <w:rFonts w:ascii="Arial" w:hAnsi="Arial" w:cs="Arial"/>
          <w:color w:val="auto"/>
          <w:szCs w:val="21"/>
          <w:highlight w:val="none"/>
        </w:rPr>
        <w:t xml:space="preserve">                                  职务：</w:t>
      </w:r>
      <w:r>
        <w:rPr>
          <w:rFonts w:ascii="Arial" w:hAnsi="Arial" w:cs="Arial"/>
          <w:color w:val="auto"/>
          <w:szCs w:val="21"/>
          <w:highlight w:val="none"/>
          <w:u w:val="single"/>
        </w:rPr>
        <w:t xml:space="preserve">           </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被授权人身份证号码：</w:t>
      </w:r>
      <w:r>
        <w:rPr>
          <w:rFonts w:ascii="Arial" w:hAnsi="Arial" w:cs="Arial"/>
          <w:color w:val="auto"/>
          <w:szCs w:val="21"/>
          <w:highlight w:val="none"/>
          <w:u w:val="single"/>
        </w:rPr>
        <w:t xml:space="preserve">                   </w:t>
      </w:r>
      <w:r>
        <w:rPr>
          <w:rFonts w:ascii="Arial" w:hAnsi="Arial" w:cs="Arial"/>
          <w:color w:val="auto"/>
          <w:szCs w:val="21"/>
          <w:highlight w:val="none"/>
        </w:rPr>
        <w:t xml:space="preserve">            授权人身份证号码：</w:t>
      </w:r>
      <w:r>
        <w:rPr>
          <w:rFonts w:ascii="Arial" w:hAnsi="Arial" w:cs="Arial"/>
          <w:color w:val="auto"/>
          <w:szCs w:val="21"/>
          <w:highlight w:val="none"/>
          <w:u w:val="single"/>
        </w:rPr>
        <w:t xml:space="preserve">                 </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被授权人邮箱：</w:t>
      </w:r>
      <w:r>
        <w:rPr>
          <w:rFonts w:ascii="Arial" w:hAnsi="Arial" w:cs="Arial"/>
          <w:color w:val="auto"/>
          <w:szCs w:val="21"/>
          <w:highlight w:val="none"/>
          <w:u w:val="single"/>
        </w:rPr>
        <w:t xml:space="preserve">                       </w:t>
      </w:r>
    </w:p>
    <w:p>
      <w:pPr>
        <w:snapToGrid w:val="0"/>
        <w:spacing w:before="120" w:beforeLines="50" w:after="50" w:line="440" w:lineRule="exact"/>
        <w:rPr>
          <w:rFonts w:ascii="Arial" w:hAnsi="Arial" w:cs="Arial"/>
          <w:color w:val="auto"/>
          <w:szCs w:val="21"/>
          <w:highlight w:val="none"/>
        </w:rPr>
      </w:pPr>
      <w:r>
        <w:rPr>
          <w:rFonts w:ascii="Arial" w:hAnsi="Arial" w:cs="Arial"/>
          <w:color w:val="auto"/>
          <w:szCs w:val="21"/>
          <w:highlight w:val="none"/>
        </w:rPr>
        <w:t xml:space="preserve">                   </w:t>
      </w:r>
    </w:p>
    <w:p>
      <w:pPr>
        <w:snapToGrid w:val="0"/>
        <w:spacing w:before="120" w:beforeLines="50" w:after="50" w:line="440" w:lineRule="exact"/>
        <w:ind w:firstLine="5670" w:firstLineChars="2700"/>
        <w:rPr>
          <w:rFonts w:ascii="Arial" w:hAnsi="Arial" w:cs="Arial"/>
          <w:color w:val="auto"/>
          <w:szCs w:val="21"/>
          <w:highlight w:val="none"/>
        </w:rPr>
      </w:pPr>
      <w:r>
        <w:rPr>
          <w:rFonts w:ascii="Arial" w:hAnsi="Arial" w:cs="Arial"/>
          <w:color w:val="auto"/>
          <w:szCs w:val="21"/>
          <w:highlight w:val="none"/>
        </w:rPr>
        <w:t>供应商公章：</w:t>
      </w:r>
      <w:r>
        <w:rPr>
          <w:rFonts w:ascii="Arial" w:hAnsi="Arial" w:cs="Arial"/>
          <w:color w:val="auto"/>
          <w:szCs w:val="21"/>
          <w:highlight w:val="none"/>
          <w:u w:val="single"/>
        </w:rPr>
        <w:t xml:space="preserve">                </w:t>
      </w:r>
    </w:p>
    <w:p>
      <w:pPr>
        <w:snapToGrid w:val="0"/>
        <w:spacing w:before="120" w:beforeLines="50" w:after="50" w:line="440" w:lineRule="exact"/>
        <w:jc w:val="center"/>
        <w:rPr>
          <w:rFonts w:ascii="Arial" w:hAnsi="Arial" w:cs="Arial"/>
          <w:color w:val="auto"/>
          <w:szCs w:val="21"/>
          <w:highlight w:val="none"/>
        </w:rPr>
      </w:pPr>
      <w:r>
        <w:rPr>
          <w:rFonts w:ascii="Arial" w:hAnsi="Arial" w:cs="Arial"/>
          <w:color w:val="auto"/>
          <w:szCs w:val="21"/>
          <w:highlight w:val="none"/>
        </w:rPr>
        <w:t xml:space="preserve">                                        年    月    日</w:t>
      </w:r>
    </w:p>
    <w:p>
      <w:pPr>
        <w:spacing w:line="360" w:lineRule="auto"/>
        <w:rPr>
          <w:rFonts w:ascii="Arial" w:hAnsi="Arial" w:cs="Arial"/>
          <w:color w:val="auto"/>
          <w:szCs w:val="21"/>
          <w:highlight w:val="none"/>
        </w:rPr>
      </w:pPr>
      <w:r>
        <w:rPr>
          <w:rFonts w:ascii="Arial" w:hAnsi="Arial" w:cs="Arial"/>
          <w:color w:val="auto"/>
          <w:szCs w:val="21"/>
          <w:highlight w:val="none"/>
        </w:rPr>
        <w:t>附件：1）法定代表人身份证复印件及授权代表身份证复印件</w:t>
      </w:r>
    </w:p>
    <w:p>
      <w:pPr>
        <w:spacing w:line="360" w:lineRule="auto"/>
        <w:rPr>
          <w:rFonts w:ascii="Arial" w:hAnsi="Arial" w:cs="Arial"/>
          <w:color w:val="auto"/>
          <w:highlight w:val="none"/>
        </w:rPr>
      </w:pPr>
    </w:p>
    <w:p>
      <w:pPr>
        <w:spacing w:line="360" w:lineRule="auto"/>
        <w:rPr>
          <w:rFonts w:ascii="Arial" w:hAnsi="Arial" w:cs="Arial"/>
          <w:color w:val="auto"/>
          <w:highlight w:val="none"/>
        </w:rPr>
      </w:pPr>
      <w:r>
        <w:rPr>
          <w:rFonts w:ascii="Arial" w:hAnsi="Arial" w:cs="Arial"/>
          <w:color w:val="auto"/>
          <w:highlight w:val="none"/>
        </w:rPr>
        <w:t>注：授权代表出席截标会议时，须随身携带本“法定代表人授权委托书”原件一份以及本人身份证原件，以备核查。</w:t>
      </w:r>
    </w:p>
    <w:bookmarkEnd w:id="46"/>
    <w:p>
      <w:pPr>
        <w:snapToGrid w:val="0"/>
        <w:spacing w:before="120" w:beforeLines="50" w:after="50" w:line="440" w:lineRule="exact"/>
        <w:rPr>
          <w:b/>
          <w:color w:val="auto"/>
          <w:szCs w:val="21"/>
          <w:highlight w:val="none"/>
        </w:rPr>
      </w:pPr>
      <w:r>
        <w:rPr>
          <w:rFonts w:ascii="Arial" w:hAnsi="Arial" w:cs="Arial"/>
          <w:color w:val="auto"/>
          <w:szCs w:val="21"/>
          <w:highlight w:val="none"/>
        </w:rPr>
        <w:br w:type="page"/>
      </w:r>
      <w:bookmarkStart w:id="47" w:name="_Hlk21623558"/>
      <w:r>
        <w:rPr>
          <w:color w:val="auto"/>
          <w:szCs w:val="21"/>
          <w:highlight w:val="none"/>
        </w:rPr>
        <w:t>3．法人或者其他组织的营业执照等证明文件。即供应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如供应商不是以上所列的法人、组织的，则提供国家规定的相关证明材料。（加盖供应商公章）</w:t>
      </w:r>
      <w:r>
        <w:rPr>
          <w:rFonts w:hint="eastAsia"/>
          <w:color w:val="auto"/>
          <w:szCs w:val="21"/>
          <w:highlight w:val="none"/>
        </w:rPr>
        <w:t>。</w:t>
      </w:r>
    </w:p>
    <w:p>
      <w:pPr>
        <w:snapToGrid w:val="0"/>
        <w:spacing w:before="120" w:beforeLines="50" w:after="50" w:line="440" w:lineRule="exact"/>
        <w:rPr>
          <w:rFonts w:ascii="Arial" w:hAnsi="Arial" w:cs="Arial"/>
          <w:color w:val="auto"/>
          <w:szCs w:val="21"/>
          <w:highlight w:val="none"/>
        </w:rPr>
      </w:pPr>
    </w:p>
    <w:p>
      <w:pPr>
        <w:snapToGrid w:val="0"/>
        <w:spacing w:before="120" w:beforeLines="50" w:after="50" w:line="440" w:lineRule="exact"/>
        <w:rPr>
          <w:rFonts w:ascii="Arial" w:hAnsi="Arial" w:cs="Arial"/>
          <w:b/>
          <w:color w:val="auto"/>
          <w:szCs w:val="21"/>
          <w:highlight w:val="none"/>
        </w:rPr>
      </w:pPr>
      <w:r>
        <w:rPr>
          <w:rFonts w:ascii="Arial" w:hAnsi="Arial" w:cs="Arial"/>
          <w:color w:val="auto"/>
          <w:szCs w:val="21"/>
          <w:highlight w:val="none"/>
        </w:rPr>
        <w:t>4．财务状况报告（表）复印件或银行出具的资信证明复印件。</w:t>
      </w:r>
      <w:r>
        <w:rPr>
          <w:rFonts w:ascii="Arial" w:hAnsi="Arial" w:cs="Arial"/>
          <w:color w:val="auto"/>
          <w:highlight w:val="none"/>
        </w:rPr>
        <w:t>对于从取得营业执照时间起到截标时间为止不足1年的供应商，只需提交</w:t>
      </w:r>
      <w:r>
        <w:rPr>
          <w:rFonts w:ascii="Arial" w:hAnsi="Arial" w:cs="Arial"/>
          <w:color w:val="auto"/>
          <w:szCs w:val="21"/>
          <w:highlight w:val="none"/>
        </w:rPr>
        <w:t>截标时间前一个月的财务状况报告（表）复印件。（按“评审方法及评审标准” “资格审查表”规定提供）。（加盖供应商公章）。</w:t>
      </w:r>
      <w:r>
        <w:rPr>
          <w:rFonts w:ascii="Arial" w:hAnsi="Arial" w:cs="Arial"/>
          <w:b/>
          <w:color w:val="auto"/>
          <w:szCs w:val="21"/>
          <w:highlight w:val="none"/>
        </w:rPr>
        <w:t>（必须提供）</w:t>
      </w:r>
    </w:p>
    <w:bookmarkEnd w:id="47"/>
    <w:p>
      <w:pPr>
        <w:snapToGrid w:val="0"/>
        <w:spacing w:before="120" w:beforeLines="50" w:after="50" w:line="440" w:lineRule="exact"/>
        <w:rPr>
          <w:rFonts w:ascii="Arial" w:hAnsi="Arial" w:cs="Arial"/>
          <w:color w:val="auto"/>
          <w:szCs w:val="21"/>
          <w:highlight w:val="none"/>
        </w:rPr>
      </w:pPr>
    </w:p>
    <w:p>
      <w:pPr>
        <w:snapToGrid w:val="0"/>
        <w:spacing w:before="50" w:after="120" w:afterLines="50" w:line="440" w:lineRule="exact"/>
        <w:jc w:val="left"/>
        <w:rPr>
          <w:rFonts w:ascii="Arial" w:hAnsi="Arial" w:cs="Arial"/>
          <w:b/>
          <w:color w:val="auto"/>
          <w:szCs w:val="21"/>
          <w:highlight w:val="none"/>
        </w:rPr>
      </w:pPr>
      <w:r>
        <w:rPr>
          <w:rFonts w:ascii="Arial" w:hAnsi="Arial" w:cs="Arial"/>
          <w:color w:val="auto"/>
          <w:szCs w:val="21"/>
          <w:highlight w:val="none"/>
        </w:rPr>
        <w:t>5．</w:t>
      </w:r>
      <w:r>
        <w:rPr>
          <w:rFonts w:ascii="Arial" w:hAnsi="Arial" w:cs="Arial"/>
          <w:color w:val="auto"/>
          <w:highlight w:val="none"/>
        </w:rPr>
        <w:t>依法缴纳税费证明和社会保险缴纳证明材料。供应商成立不足1个月的，无须提供缴纳税费证明及社保缴费证明。依法免税或不需要缴纳社会保障资金的供应商，须提供相应文件证明其依法免税或不需要缴纳社会保障资金。</w:t>
      </w:r>
      <w:r>
        <w:rPr>
          <w:rFonts w:ascii="Arial" w:hAnsi="Arial" w:cs="Arial"/>
          <w:color w:val="auto"/>
          <w:szCs w:val="21"/>
          <w:highlight w:val="none"/>
        </w:rPr>
        <w:t>（按“评审方法及评审标准” “资格性检查表”规定提供）（加盖供应商公章）。</w:t>
      </w:r>
      <w:r>
        <w:rPr>
          <w:rFonts w:ascii="Arial" w:hAnsi="Arial" w:cs="Arial"/>
          <w:b/>
          <w:color w:val="auto"/>
          <w:szCs w:val="21"/>
          <w:highlight w:val="none"/>
        </w:rPr>
        <w:t>（必须提供）</w:t>
      </w:r>
    </w:p>
    <w:p>
      <w:pPr>
        <w:snapToGrid w:val="0"/>
        <w:spacing w:before="50" w:after="120" w:afterLines="50" w:line="440" w:lineRule="exact"/>
        <w:jc w:val="left"/>
        <w:rPr>
          <w:rFonts w:ascii="Arial" w:hAnsi="Arial" w:cs="Arial"/>
          <w:color w:val="auto"/>
          <w:highlight w:val="none"/>
        </w:rPr>
      </w:pPr>
    </w:p>
    <w:p>
      <w:pPr>
        <w:pStyle w:val="23"/>
        <w:tabs>
          <w:tab w:val="left" w:pos="2127"/>
        </w:tabs>
        <w:spacing w:line="340" w:lineRule="exact"/>
        <w:rPr>
          <w:rFonts w:ascii="Arial" w:hAnsi="Arial" w:cs="Arial"/>
          <w:b/>
          <w:color w:val="auto"/>
          <w:highlight w:val="none"/>
        </w:rPr>
      </w:pPr>
      <w:r>
        <w:rPr>
          <w:rFonts w:ascii="Arial" w:hAnsi="Arial" w:cs="Arial"/>
          <w:color w:val="auto"/>
          <w:highlight w:val="none"/>
        </w:rPr>
        <w:t>6．具备法律、行政法规规定的其他要求的证明材料（按“评审方法及评审标准” “资格性检查表”规定提供）。</w:t>
      </w:r>
      <w:r>
        <w:rPr>
          <w:rFonts w:ascii="Arial" w:hAnsi="Arial" w:cs="Arial"/>
          <w:b/>
          <w:color w:val="auto"/>
          <w:highlight w:val="none"/>
        </w:rPr>
        <w:t>（如谈判文件有要求，则必须提供）</w:t>
      </w:r>
    </w:p>
    <w:p>
      <w:pPr>
        <w:pStyle w:val="23"/>
        <w:tabs>
          <w:tab w:val="left" w:pos="2127"/>
        </w:tabs>
        <w:spacing w:line="340" w:lineRule="exact"/>
        <w:rPr>
          <w:rFonts w:ascii="Arial" w:hAnsi="Arial" w:cs="Arial"/>
          <w:color w:val="auto"/>
          <w:highlight w:val="none"/>
        </w:rPr>
      </w:pPr>
    </w:p>
    <w:p>
      <w:pPr>
        <w:pStyle w:val="23"/>
        <w:tabs>
          <w:tab w:val="left" w:pos="2127"/>
        </w:tabs>
        <w:spacing w:line="340" w:lineRule="exact"/>
        <w:rPr>
          <w:rFonts w:ascii="Arial" w:hAnsi="Arial" w:cs="Arial"/>
          <w:b/>
          <w:color w:val="auto"/>
          <w:highlight w:val="none"/>
        </w:rPr>
      </w:pPr>
      <w:r>
        <w:rPr>
          <w:rFonts w:ascii="Arial" w:hAnsi="Arial" w:cs="Arial"/>
          <w:color w:val="auto"/>
          <w:highlight w:val="none"/>
        </w:rPr>
        <w:t>7．满足供应商特定资格条件的其他证明材料加盖供应商公章（按“评审方法及评审标准” “资格性检查表”规定提供）。</w:t>
      </w:r>
      <w:r>
        <w:rPr>
          <w:rFonts w:ascii="Arial" w:hAnsi="Arial" w:cs="Arial"/>
          <w:b/>
          <w:color w:val="auto"/>
          <w:highlight w:val="none"/>
        </w:rPr>
        <w:t>（如谈判文件有要求，则必须提供）</w:t>
      </w:r>
    </w:p>
    <w:p>
      <w:pPr>
        <w:pStyle w:val="23"/>
        <w:tabs>
          <w:tab w:val="left" w:pos="2127"/>
        </w:tabs>
        <w:spacing w:line="340" w:lineRule="exact"/>
        <w:rPr>
          <w:rFonts w:ascii="Arial" w:hAnsi="Arial" w:cs="Arial"/>
          <w:color w:val="auto"/>
          <w:highlight w:val="none"/>
        </w:rPr>
      </w:pPr>
    </w:p>
    <w:p>
      <w:pPr>
        <w:snapToGrid w:val="0"/>
        <w:spacing w:before="50" w:after="120" w:afterLines="50" w:line="400" w:lineRule="exact"/>
        <w:jc w:val="left"/>
        <w:rPr>
          <w:rFonts w:ascii="Arial" w:hAnsi="Arial" w:cs="Arial"/>
          <w:color w:val="auto"/>
          <w:szCs w:val="21"/>
          <w:highlight w:val="none"/>
        </w:rPr>
      </w:pPr>
      <w:bookmarkStart w:id="48" w:name="_Hlk21623591"/>
      <w:r>
        <w:rPr>
          <w:rFonts w:ascii="Arial" w:hAnsi="Arial" w:cs="Arial"/>
          <w:color w:val="auto"/>
          <w:szCs w:val="21"/>
          <w:highlight w:val="none"/>
        </w:rPr>
        <w:t>8．谈判保证金缴纳证明。</w:t>
      </w:r>
      <w:r>
        <w:rPr>
          <w:rFonts w:ascii="Arial" w:hAnsi="Arial" w:cs="Arial"/>
          <w:b/>
          <w:color w:val="auto"/>
          <w:szCs w:val="21"/>
          <w:highlight w:val="none"/>
        </w:rPr>
        <w:t>（如谈判文件有要求，则必须提供）</w:t>
      </w:r>
    </w:p>
    <w:p>
      <w:pPr>
        <w:snapToGrid w:val="0"/>
        <w:spacing w:before="50" w:after="120" w:afterLines="50" w:line="440" w:lineRule="exact"/>
        <w:jc w:val="left"/>
        <w:rPr>
          <w:rFonts w:ascii="Arial" w:hAnsi="Arial" w:cs="Arial"/>
          <w:color w:val="auto"/>
          <w:highlight w:val="none"/>
        </w:rPr>
      </w:pPr>
      <w:r>
        <w:rPr>
          <w:rFonts w:ascii="Arial" w:hAnsi="Arial" w:cs="Arial"/>
          <w:color w:val="auto"/>
          <w:highlight w:val="none"/>
        </w:rPr>
        <w:t>以转账、电汇形式缴纳的，提供转账、电汇凭证扫描件或复印件（网银可提供截图）加盖公章；</w:t>
      </w:r>
    </w:p>
    <w:p>
      <w:pPr>
        <w:snapToGrid w:val="0"/>
        <w:spacing w:before="50" w:after="120" w:afterLines="50" w:line="440" w:lineRule="exact"/>
        <w:jc w:val="left"/>
        <w:rPr>
          <w:rFonts w:ascii="Arial" w:hAnsi="Arial" w:cs="Arial"/>
          <w:color w:val="auto"/>
          <w:highlight w:val="none"/>
        </w:rPr>
      </w:pPr>
      <w:r>
        <w:rPr>
          <w:rFonts w:ascii="Arial" w:hAnsi="Arial" w:cs="Arial"/>
          <w:color w:val="auto"/>
          <w:highlight w:val="none"/>
        </w:rPr>
        <w:t>以其他非现金形式缴纳的，提供原件扫描件或复印件加盖公章。</w:t>
      </w:r>
    </w:p>
    <w:bookmarkEnd w:id="48"/>
    <w:p>
      <w:pPr>
        <w:snapToGrid w:val="0"/>
        <w:spacing w:before="50" w:after="120" w:afterLines="50"/>
        <w:jc w:val="left"/>
        <w:rPr>
          <w:rFonts w:ascii="Arial" w:hAnsi="Arial" w:cs="Arial"/>
          <w:b/>
          <w:bCs/>
          <w:color w:val="auto"/>
          <w:szCs w:val="21"/>
          <w:highlight w:val="none"/>
        </w:rPr>
      </w:pPr>
      <w:bookmarkStart w:id="49" w:name="_Hlk20389231"/>
      <w:r>
        <w:rPr>
          <w:rFonts w:ascii="Arial" w:hAnsi="Arial" w:cs="Arial"/>
          <w:color w:val="auto"/>
          <w:szCs w:val="21"/>
          <w:highlight w:val="none"/>
        </w:rPr>
        <w:br w:type="page"/>
      </w:r>
      <w:bookmarkStart w:id="50" w:name="_Hlk21623617"/>
      <w:r>
        <w:rPr>
          <w:rFonts w:ascii="Arial" w:hAnsi="Arial" w:cs="Arial"/>
          <w:color w:val="auto"/>
          <w:szCs w:val="21"/>
          <w:highlight w:val="none"/>
        </w:rPr>
        <w:t>9．按下表填写列入中国网络安全审查技术与认证中心网站载明的13种国家信息安全产品认证的货物投标产品列表。</w:t>
      </w:r>
      <w:r>
        <w:rPr>
          <w:rFonts w:ascii="Arial" w:hAnsi="Arial" w:cs="Arial"/>
          <w:b/>
          <w:color w:val="auto"/>
          <w:szCs w:val="21"/>
          <w:highlight w:val="none"/>
        </w:rPr>
        <w:t>（</w:t>
      </w:r>
      <w:r>
        <w:rPr>
          <w:rFonts w:ascii="Arial" w:hAnsi="Arial" w:cs="Arial"/>
          <w:b/>
          <w:bCs/>
          <w:color w:val="auto"/>
          <w:szCs w:val="21"/>
          <w:highlight w:val="none"/>
        </w:rPr>
        <w:t>采购标的包含的，须提供）</w:t>
      </w:r>
    </w:p>
    <w:p>
      <w:pPr>
        <w:spacing w:line="360" w:lineRule="auto"/>
        <w:jc w:val="center"/>
        <w:rPr>
          <w:rFonts w:ascii="Arial" w:hAnsi="Arial" w:cs="Arial"/>
          <w:color w:val="auto"/>
          <w:szCs w:val="21"/>
          <w:highlight w:val="none"/>
        </w:rPr>
      </w:pPr>
      <w:r>
        <w:rPr>
          <w:rFonts w:ascii="Arial" w:hAnsi="Arial" w:cs="Arial"/>
          <w:color w:val="auto"/>
          <w:szCs w:val="21"/>
          <w:highlight w:val="none"/>
        </w:rPr>
        <w:t>信息安全产品货物投标产品列表</w:t>
      </w:r>
    </w:p>
    <w:tbl>
      <w:tblPr>
        <w:tblStyle w:val="41"/>
        <w:tblW w:w="101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67"/>
        <w:gridCol w:w="1134"/>
        <w:gridCol w:w="897"/>
        <w:gridCol w:w="1088"/>
        <w:gridCol w:w="1409"/>
        <w:gridCol w:w="1213"/>
        <w:gridCol w:w="1417"/>
        <w:gridCol w:w="1134"/>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767" w:type="dxa"/>
            <w:tcBorders>
              <w:top w:val="single" w:color="auto" w:sz="12" w:space="0"/>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序号</w:t>
            </w:r>
          </w:p>
        </w:tc>
        <w:tc>
          <w:tcPr>
            <w:tcW w:w="1134"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证书编号</w:t>
            </w:r>
          </w:p>
        </w:tc>
        <w:tc>
          <w:tcPr>
            <w:tcW w:w="897"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产品名称</w:t>
            </w:r>
          </w:p>
        </w:tc>
        <w:tc>
          <w:tcPr>
            <w:tcW w:w="1088" w:type="dxa"/>
            <w:tcBorders>
              <w:top w:val="single" w:color="auto" w:sz="12" w:space="0"/>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产品型号</w:t>
            </w:r>
          </w:p>
        </w:tc>
        <w:tc>
          <w:tcPr>
            <w:tcW w:w="1409" w:type="dxa"/>
            <w:tcBorders>
              <w:top w:val="single" w:color="auto" w:sz="12" w:space="0"/>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生产企业</w:t>
            </w:r>
          </w:p>
        </w:tc>
        <w:tc>
          <w:tcPr>
            <w:tcW w:w="1213"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szCs w:val="21"/>
                <w:highlight w:val="none"/>
                <w:shd w:val="clear" w:color="auto" w:fill="FFFFFF"/>
              </w:rPr>
              <w:t>制造商</w:t>
            </w:r>
          </w:p>
        </w:tc>
        <w:tc>
          <w:tcPr>
            <w:tcW w:w="1417" w:type="dxa"/>
            <w:tcBorders>
              <w:top w:val="single" w:color="auto" w:sz="12" w:space="0"/>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证书有效期至</w:t>
            </w:r>
          </w:p>
        </w:tc>
        <w:tc>
          <w:tcPr>
            <w:tcW w:w="1134" w:type="dxa"/>
            <w:tcBorders>
              <w:top w:val="single" w:color="auto" w:sz="12" w:space="0"/>
              <w:left w:val="nil"/>
              <w:bottom w:val="single" w:color="auto" w:sz="8" w:space="0"/>
              <w:right w:val="single" w:color="auto" w:sz="4" w:space="0"/>
            </w:tcBorders>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证书状态</w:t>
            </w:r>
          </w:p>
        </w:tc>
        <w:tc>
          <w:tcPr>
            <w:tcW w:w="1134" w:type="dxa"/>
            <w:tcBorders>
              <w:top w:val="single" w:color="auto" w:sz="12" w:space="0"/>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3"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81"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2</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67" w:type="dxa"/>
            <w:tcBorders>
              <w:top w:val="nil"/>
              <w:left w:val="single" w:color="auto" w:sz="12" w:space="0"/>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r>
              <w:rPr>
                <w:rFonts w:ascii="Arial" w:hAnsi="Arial" w:cs="Arial"/>
                <w:color w:val="auto"/>
                <w:kern w:val="0"/>
                <w:szCs w:val="21"/>
                <w:highlight w:val="none"/>
              </w:rPr>
              <w:t>……</w:t>
            </w:r>
          </w:p>
        </w:tc>
        <w:tc>
          <w:tcPr>
            <w:tcW w:w="1134"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897"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088" w:type="dxa"/>
            <w:tcBorders>
              <w:top w:val="nil"/>
              <w:left w:val="nil"/>
              <w:bottom w:val="single" w:color="auto" w:sz="8" w:space="0"/>
              <w:right w:val="single" w:color="auto" w:sz="4"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09" w:type="dxa"/>
            <w:tcBorders>
              <w:top w:val="nil"/>
              <w:left w:val="single" w:color="auto" w:sz="4" w:space="0"/>
              <w:bottom w:val="single" w:color="auto" w:sz="8" w:space="0"/>
              <w:right w:val="single" w:color="auto" w:sz="8" w:space="0"/>
            </w:tcBorders>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213"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41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134" w:type="dxa"/>
            <w:tcBorders>
              <w:top w:val="single" w:color="auto" w:sz="8" w:space="0"/>
              <w:left w:val="nil"/>
              <w:bottom w:val="single" w:color="auto" w:sz="8" w:space="0"/>
              <w:right w:val="single" w:color="auto" w:sz="4" w:space="0"/>
            </w:tcBorders>
          </w:tcPr>
          <w:p>
            <w:pPr>
              <w:widowControl/>
              <w:spacing w:before="100" w:beforeAutospacing="1" w:after="100" w:afterAutospacing="1" w:line="376" w:lineRule="atLeast"/>
              <w:jc w:val="center"/>
              <w:rPr>
                <w:rFonts w:ascii="Arial" w:hAnsi="Arial" w:cs="Arial"/>
                <w:color w:val="auto"/>
                <w:kern w:val="0"/>
                <w:szCs w:val="21"/>
                <w:highlight w:val="none"/>
              </w:rPr>
            </w:pPr>
          </w:p>
        </w:tc>
        <w:tc>
          <w:tcPr>
            <w:tcW w:w="1134" w:type="dxa"/>
            <w:tcBorders>
              <w:top w:val="nil"/>
              <w:left w:val="single" w:color="auto" w:sz="4" w:space="0"/>
              <w:bottom w:val="single" w:color="auto" w:sz="8" w:space="0"/>
              <w:right w:val="single" w:color="auto" w:sz="12" w:space="0"/>
            </w:tcBorders>
            <w:tcMar>
              <w:top w:w="0" w:type="dxa"/>
              <w:left w:w="57" w:type="dxa"/>
              <w:bottom w:w="0" w:type="dxa"/>
              <w:right w:w="57" w:type="dxa"/>
            </w:tcMar>
            <w:vAlign w:val="center"/>
          </w:tcPr>
          <w:p>
            <w:pPr>
              <w:widowControl/>
              <w:spacing w:before="100" w:beforeAutospacing="1" w:after="100" w:afterAutospacing="1" w:line="376" w:lineRule="atLeast"/>
              <w:jc w:val="center"/>
              <w:rPr>
                <w:rFonts w:ascii="Arial" w:hAnsi="Arial" w:cs="Arial"/>
                <w:color w:val="auto"/>
                <w:kern w:val="0"/>
                <w:szCs w:val="21"/>
                <w:highlight w:val="none"/>
              </w:rPr>
            </w:pPr>
          </w:p>
        </w:tc>
      </w:tr>
    </w:tbl>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注：</w:t>
      </w:r>
      <w:r>
        <w:rPr>
          <w:rFonts w:ascii="Arial" w:hAnsi="Arial" w:cs="Arial"/>
          <w:color w:val="auto"/>
          <w:kern w:val="0"/>
          <w:szCs w:val="21"/>
          <w:highlight w:val="none"/>
        </w:rPr>
        <w:t>产品名称须写全称</w:t>
      </w:r>
      <w:r>
        <w:rPr>
          <w:rFonts w:ascii="Arial" w:hAnsi="Arial" w:cs="Arial"/>
          <w:color w:val="auto"/>
          <w:szCs w:val="21"/>
          <w:highlight w:val="none"/>
        </w:rPr>
        <w:t>。</w:t>
      </w:r>
    </w:p>
    <w:bookmarkEnd w:id="49"/>
    <w:p>
      <w:pPr>
        <w:snapToGrid w:val="0"/>
        <w:spacing w:before="50" w:after="120" w:afterLines="50" w:line="440" w:lineRule="exact"/>
        <w:jc w:val="left"/>
        <w:rPr>
          <w:rFonts w:ascii="Arial" w:hAnsi="Arial" w:cs="Arial"/>
          <w:b/>
          <w:color w:val="auto"/>
          <w:szCs w:val="21"/>
          <w:highlight w:val="none"/>
        </w:rPr>
      </w:pPr>
    </w:p>
    <w:p>
      <w:pPr>
        <w:snapToGrid w:val="0"/>
        <w:spacing w:before="50" w:after="120" w:afterLines="50" w:line="400" w:lineRule="exact"/>
        <w:jc w:val="left"/>
        <w:rPr>
          <w:rFonts w:ascii="Arial" w:hAnsi="Arial" w:cs="Arial"/>
          <w:bCs/>
          <w:color w:val="auto"/>
          <w:sz w:val="24"/>
          <w:highlight w:val="none"/>
        </w:rPr>
      </w:pPr>
      <w:r>
        <w:rPr>
          <w:rFonts w:ascii="Arial" w:hAnsi="Arial" w:cs="Arial"/>
          <w:color w:val="auto"/>
          <w:szCs w:val="21"/>
          <w:highlight w:val="none"/>
        </w:rPr>
        <w:t>10．供应商认为应当要提交的资格证明材料。</w:t>
      </w:r>
      <w:r>
        <w:rPr>
          <w:rFonts w:ascii="Arial" w:hAnsi="Arial" w:cs="Arial"/>
          <w:bCs/>
          <w:color w:val="auto"/>
          <w:sz w:val="24"/>
          <w:highlight w:val="none"/>
        </w:rPr>
        <w:t xml:space="preserve"> </w:t>
      </w:r>
    </w:p>
    <w:bookmarkEnd w:id="50"/>
    <w:p>
      <w:pPr>
        <w:snapToGrid w:val="0"/>
        <w:spacing w:before="50" w:after="120" w:afterLines="50" w:line="440" w:lineRule="exact"/>
        <w:jc w:val="left"/>
        <w:rPr>
          <w:rFonts w:ascii="Arial" w:hAnsi="Arial" w:cs="Arial"/>
          <w:color w:val="auto"/>
          <w:highlight w:val="none"/>
        </w:rPr>
      </w:pPr>
    </w:p>
    <w:p>
      <w:pPr>
        <w:snapToGrid w:val="0"/>
        <w:spacing w:before="120" w:beforeLines="50" w:after="50" w:line="440" w:lineRule="exact"/>
        <w:jc w:val="center"/>
        <w:outlineLvl w:val="1"/>
        <w:rPr>
          <w:rFonts w:ascii="Arial" w:hAnsi="Arial" w:cs="Arial"/>
          <w:b/>
          <w:color w:val="auto"/>
          <w:sz w:val="24"/>
          <w:highlight w:val="none"/>
        </w:rPr>
      </w:pPr>
      <w:r>
        <w:rPr>
          <w:rFonts w:ascii="Arial" w:hAnsi="Arial" w:cs="Arial"/>
          <w:color w:val="auto"/>
          <w:szCs w:val="21"/>
          <w:highlight w:val="none"/>
        </w:rPr>
        <w:br w:type="page"/>
      </w:r>
      <w:r>
        <w:rPr>
          <w:rFonts w:ascii="Arial" w:hAnsi="Arial" w:cs="Arial"/>
          <w:b/>
          <w:color w:val="auto"/>
          <w:sz w:val="24"/>
          <w:highlight w:val="none"/>
        </w:rPr>
        <w:t>第二部分 商务技术文件</w:t>
      </w:r>
    </w:p>
    <w:p>
      <w:pPr>
        <w:snapToGrid w:val="0"/>
        <w:spacing w:before="50" w:after="120" w:afterLines="50" w:line="440" w:lineRule="exact"/>
        <w:jc w:val="left"/>
        <w:rPr>
          <w:rFonts w:ascii="Arial" w:hAnsi="Arial" w:cs="Arial"/>
          <w:color w:val="auto"/>
          <w:highlight w:val="none"/>
        </w:rPr>
      </w:pPr>
      <w:r>
        <w:rPr>
          <w:rFonts w:ascii="Arial" w:hAnsi="Arial" w:cs="Arial"/>
          <w:b/>
          <w:bCs/>
          <w:color w:val="auto"/>
          <w:highlight w:val="none"/>
        </w:rPr>
        <w:t>（本商务技术文件除标注“必须提供”的部分外，其余部分供应商可自行编写，也可参照下述提纲编写）</w:t>
      </w:r>
    </w:p>
    <w:p>
      <w:pPr>
        <w:rPr>
          <w:rFonts w:ascii="Arial" w:hAnsi="Arial" w:cs="Arial"/>
          <w:color w:val="auto"/>
          <w:szCs w:val="21"/>
          <w:highlight w:val="none"/>
        </w:rPr>
      </w:pPr>
      <w:bookmarkStart w:id="51" w:name="_Hlk21623674"/>
      <w:r>
        <w:rPr>
          <w:rFonts w:ascii="Arial" w:hAnsi="Arial" w:cs="Arial"/>
          <w:color w:val="auto"/>
          <w:szCs w:val="21"/>
          <w:highlight w:val="none"/>
        </w:rPr>
        <w:t>1．对本项目第二章《项目采购需求》技术要求的响应偏离表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p>
      <w:pPr>
        <w:rPr>
          <w:rFonts w:ascii="Arial" w:hAnsi="Arial" w:cs="Arial"/>
          <w:color w:val="auto"/>
          <w:szCs w:val="21"/>
          <w:highlight w:val="none"/>
        </w:rPr>
      </w:pPr>
    </w:p>
    <w:p>
      <w:pPr>
        <w:ind w:firstLine="420" w:firstLineChars="200"/>
        <w:rPr>
          <w:rFonts w:ascii="Arial" w:hAnsi="Arial" w:cs="Arial"/>
          <w:color w:val="auto"/>
          <w:szCs w:val="21"/>
          <w:highlight w:val="none"/>
        </w:rPr>
      </w:pPr>
      <w:r>
        <w:rPr>
          <w:rFonts w:ascii="Arial" w:hAnsi="Arial" w:cs="Arial"/>
          <w:color w:val="auto"/>
          <w:szCs w:val="21"/>
          <w:highlight w:val="none"/>
        </w:rPr>
        <w:t>对照第二章《项目采购需求》“</w:t>
      </w:r>
      <w:r>
        <w:rPr>
          <w:rFonts w:ascii="Arial" w:hAnsi="Arial" w:cs="Arial"/>
          <w:color w:val="auto"/>
          <w:highlight w:val="none"/>
        </w:rPr>
        <w:t>三、本项目技术要求”中所列的除 “总体要求”、“核心产品”、质量保证”、“</w:t>
      </w:r>
      <w:r>
        <w:rPr>
          <w:rFonts w:ascii="Arial" w:hAnsi="Arial" w:cs="Arial"/>
          <w:color w:val="auto"/>
          <w:szCs w:val="21"/>
          <w:highlight w:val="none"/>
        </w:rPr>
        <w:t>备品备件及易损件</w:t>
      </w:r>
      <w:r>
        <w:rPr>
          <w:rFonts w:ascii="Arial" w:hAnsi="Arial" w:cs="Arial"/>
          <w:color w:val="auto"/>
          <w:highlight w:val="none"/>
        </w:rPr>
        <w:t>”外的技术要求的响应偏表</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谈判文件要求</w:t>
            </w:r>
          </w:p>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响应文件响应内容</w:t>
            </w:r>
          </w:p>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（可注明证明材料所在页码）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r>
              <w:rPr>
                <w:rFonts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r>
              <w:rPr>
                <w:rFonts w:ascii="Arial" w:hAnsi="Arial" w:cs="Arial"/>
                <w:color w:val="auto"/>
                <w:szCs w:val="21"/>
                <w:highlight w:val="none"/>
              </w:rPr>
              <w:t>……</w:t>
            </w:r>
          </w:p>
        </w:tc>
        <w:tc>
          <w:tcPr>
            <w:tcW w:w="34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r>
              <w:rPr>
                <w:rFonts w:ascii="Arial" w:hAnsi="Arial" w:cs="Arial"/>
                <w:color w:val="auto"/>
                <w:szCs w:val="21"/>
                <w:highlight w:val="none"/>
              </w:rPr>
              <w:t>……</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line="240" w:lineRule="auto"/>
              <w:jc w:val="center"/>
              <w:textAlignment w:val="auto"/>
              <w:rPr>
                <w:rFonts w:ascii="Arial" w:hAnsi="Arial" w:cs="Arial"/>
                <w:color w:val="auto"/>
                <w:szCs w:val="21"/>
                <w:highlight w:val="none"/>
              </w:rPr>
            </w:pPr>
            <w:r>
              <w:rPr>
                <w:rFonts w:ascii="Arial" w:hAnsi="Arial" w:cs="Arial"/>
                <w:color w:val="auto"/>
                <w:szCs w:val="21"/>
                <w:highlight w:val="none"/>
              </w:rPr>
              <w:t>……</w:t>
            </w:r>
          </w:p>
        </w:tc>
      </w:tr>
    </w:tbl>
    <w:p>
      <w:pPr>
        <w:rPr>
          <w:rFonts w:ascii="Arial" w:hAnsi="Arial" w:cs="Arial"/>
          <w:color w:val="auto"/>
          <w:szCs w:val="21"/>
          <w:highlight w:val="none"/>
        </w:rPr>
      </w:pPr>
    </w:p>
    <w:p>
      <w:pPr>
        <w:rPr>
          <w:rFonts w:ascii="Arial" w:hAnsi="Arial" w:cs="Arial"/>
          <w:color w:val="auto"/>
          <w:highlight w:val="none"/>
        </w:rPr>
      </w:pPr>
      <w:r>
        <w:rPr>
          <w:rFonts w:ascii="Arial" w:hAnsi="Arial" w:cs="Arial"/>
          <w:color w:val="auto"/>
          <w:szCs w:val="21"/>
          <w:highlight w:val="none"/>
        </w:rPr>
        <w:t>注：</w:t>
      </w:r>
      <w:r>
        <w:rPr>
          <w:rFonts w:ascii="Arial" w:hAnsi="Arial" w:cs="Arial"/>
          <w:color w:val="auto"/>
          <w:highlight w:val="none"/>
        </w:rPr>
        <w:t>（1）</w:t>
      </w:r>
      <w:r>
        <w:rPr>
          <w:rFonts w:ascii="Arial" w:hAnsi="Arial" w:cs="Arial"/>
          <w:color w:val="auto"/>
          <w:szCs w:val="21"/>
          <w:highlight w:val="none"/>
        </w:rPr>
        <w:t>供应商应根据响应设备的性能指标、对照第二章《项目采购需求》“</w:t>
      </w:r>
      <w:r>
        <w:rPr>
          <w:rFonts w:ascii="Arial" w:hAnsi="Arial" w:cs="Arial"/>
          <w:color w:val="auto"/>
          <w:highlight w:val="none"/>
        </w:rPr>
        <w:t>三、本项目技术要求”中所列技术要求（除 “总体要求”、“核心产品”、质量保证”及“</w:t>
      </w:r>
      <w:r>
        <w:rPr>
          <w:rFonts w:ascii="Arial" w:hAnsi="Arial" w:cs="Arial"/>
          <w:color w:val="auto"/>
          <w:szCs w:val="21"/>
          <w:highlight w:val="none"/>
        </w:rPr>
        <w:t>备品备件及易损件</w:t>
      </w:r>
      <w:r>
        <w:rPr>
          <w:rFonts w:ascii="Arial" w:hAnsi="Arial" w:cs="Arial"/>
          <w:color w:val="auto"/>
          <w:highlight w:val="none"/>
        </w:rPr>
        <w:t>”外）</w:t>
      </w:r>
      <w:r>
        <w:rPr>
          <w:rFonts w:ascii="Arial" w:hAnsi="Arial" w:cs="Arial"/>
          <w:color w:val="auto"/>
          <w:szCs w:val="21"/>
          <w:highlight w:val="none"/>
        </w:rPr>
        <w:t>逐条在“偏离说明”栏注明</w:t>
      </w:r>
      <w:r>
        <w:rPr>
          <w:rFonts w:ascii="Arial" w:hAnsi="Arial" w:cs="Arial"/>
          <w:color w:val="auto"/>
          <w:highlight w:val="none"/>
        </w:rPr>
        <w:t>“正偏离”</w:t>
      </w:r>
      <w:r>
        <w:rPr>
          <w:rFonts w:ascii="Arial" w:hAnsi="Arial" w:cs="Arial"/>
          <w:color w:val="auto"/>
          <w:szCs w:val="21"/>
          <w:highlight w:val="none"/>
        </w:rPr>
        <w:t>、</w:t>
      </w:r>
      <w:r>
        <w:rPr>
          <w:rFonts w:ascii="Arial" w:hAnsi="Arial" w:cs="Arial"/>
          <w:color w:val="auto"/>
          <w:highlight w:val="none"/>
        </w:rPr>
        <w:t xml:space="preserve"> “负偏离”</w:t>
      </w:r>
      <w:r>
        <w:rPr>
          <w:rFonts w:ascii="Arial" w:hAnsi="Arial" w:cs="Arial"/>
          <w:color w:val="auto"/>
          <w:szCs w:val="21"/>
          <w:highlight w:val="none"/>
        </w:rPr>
        <w:t>或</w:t>
      </w:r>
      <w:r>
        <w:rPr>
          <w:rFonts w:ascii="Arial" w:hAnsi="Arial" w:cs="Arial"/>
          <w:color w:val="auto"/>
          <w:highlight w:val="none"/>
        </w:rPr>
        <w:t>“无偏离”</w:t>
      </w:r>
      <w:r>
        <w:rPr>
          <w:rFonts w:ascii="Arial" w:hAnsi="Arial" w:cs="Arial"/>
          <w:color w:val="auto"/>
          <w:szCs w:val="21"/>
          <w:highlight w:val="none"/>
        </w:rPr>
        <w:t>。</w:t>
      </w:r>
      <w:r>
        <w:rPr>
          <w:rFonts w:ascii="Arial" w:hAnsi="Arial" w:cs="Arial"/>
          <w:color w:val="auto"/>
          <w:highlight w:val="none"/>
        </w:rPr>
        <w:t>填写“正偏离”或“无偏离”时，如相应条款在响应文件其他部分描述明确不满足谈判文件要求时，谈判小组将按不满足要求进行评审。（2）</w:t>
      </w:r>
      <w:r>
        <w:rPr>
          <w:rFonts w:ascii="Arial" w:hAnsi="Arial" w:cs="Arial"/>
          <w:color w:val="auto"/>
          <w:szCs w:val="21"/>
          <w:highlight w:val="none"/>
        </w:rPr>
        <w:t>响应技术规格与谈判文件要求相同的为无偏离，响应技术规格高于谈判文件要求的为正偏离，低于谈判文件要求的为负偏离。</w:t>
      </w:r>
    </w:p>
    <w:p>
      <w:pPr>
        <w:rPr>
          <w:rFonts w:ascii="Arial" w:hAnsi="Arial" w:cs="Arial"/>
          <w:color w:val="auto"/>
          <w:highlight w:val="none"/>
        </w:rPr>
      </w:pPr>
      <w:r>
        <w:rPr>
          <w:rFonts w:ascii="Arial" w:hAnsi="Arial" w:cs="Arial"/>
          <w:color w:val="auto"/>
          <w:highlight w:val="none"/>
        </w:rPr>
        <w:t>（3）本表可扩展。</w:t>
      </w:r>
    </w:p>
    <w:p>
      <w:pPr>
        <w:rPr>
          <w:rFonts w:ascii="Arial" w:hAnsi="Arial" w:cs="Arial"/>
          <w:color w:val="auto"/>
          <w:szCs w:val="21"/>
          <w:highlight w:val="none"/>
        </w:rPr>
      </w:pPr>
    </w:p>
    <w:p>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法定代表人或授权代表签字或盖章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rPr>
          <w:rFonts w:ascii="Arial" w:hAnsi="Arial" w:cs="Arial"/>
          <w:color w:val="auto"/>
          <w:szCs w:val="21"/>
          <w:highlight w:val="none"/>
        </w:rPr>
      </w:pPr>
      <w:r>
        <w:rPr>
          <w:rFonts w:ascii="Arial" w:hAnsi="Arial" w:cs="Arial"/>
          <w:color w:val="auto"/>
          <w:spacing w:val="20"/>
          <w:szCs w:val="21"/>
          <w:highlight w:val="none"/>
        </w:rPr>
        <w:t>供应商公章：</w:t>
      </w:r>
      <w:r>
        <w:rPr>
          <w:rFonts w:ascii="Arial" w:hAnsi="Arial" w:cs="Arial"/>
          <w:color w:val="auto"/>
          <w:spacing w:val="20"/>
          <w:szCs w:val="21"/>
          <w:highlight w:val="none"/>
          <w:u w:val="single"/>
        </w:rPr>
        <w:t xml:space="preserve">            </w:t>
      </w:r>
      <w:r>
        <w:rPr>
          <w:rFonts w:ascii="Arial" w:hAnsi="Arial" w:cs="Arial"/>
          <w:color w:val="auto"/>
          <w:spacing w:val="20"/>
          <w:szCs w:val="21"/>
          <w:highlight w:val="none"/>
        </w:rPr>
        <w:t xml:space="preserve">              日 期：</w:t>
      </w:r>
      <w:r>
        <w:rPr>
          <w:rFonts w:ascii="Arial" w:hAnsi="Arial" w:cs="Arial"/>
          <w:color w:val="auto"/>
          <w:spacing w:val="20"/>
          <w:szCs w:val="21"/>
          <w:highlight w:val="none"/>
          <w:u w:val="single"/>
        </w:rPr>
        <w:t xml:space="preserve">            </w:t>
      </w:r>
    </w:p>
    <w:bookmarkEnd w:id="51"/>
    <w:p>
      <w:pPr>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bookmarkStart w:id="52" w:name="_Hlk21623696"/>
      <w:r>
        <w:rPr>
          <w:rFonts w:ascii="Arial" w:hAnsi="Arial" w:cs="Arial"/>
          <w:color w:val="auto"/>
          <w:szCs w:val="21"/>
          <w:highlight w:val="none"/>
        </w:rPr>
        <w:t>2．货物或产品配置清单格式：</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1174"/>
        <w:gridCol w:w="1163"/>
        <w:gridCol w:w="1596"/>
        <w:gridCol w:w="1695"/>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货物或产品</w:t>
            </w:r>
          </w:p>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名称</w:t>
            </w: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品牌或制造商</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规格型号</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单位及数量</w:t>
            </w: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rPr>
                <w:rFonts w:ascii="Arial" w:hAnsi="Arial" w:cs="Arial"/>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174"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695"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p>
        </w:tc>
      </w:tr>
    </w:tbl>
    <w:p>
      <w:pPr>
        <w:snapToGrid w:val="0"/>
        <w:spacing w:before="50" w:after="50" w:line="440" w:lineRule="exact"/>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法定代表人或授权代表签字或盖章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napToGrid w:val="0"/>
        <w:spacing w:before="50" w:after="50" w:line="440" w:lineRule="exact"/>
        <w:rPr>
          <w:rFonts w:ascii="Arial" w:hAnsi="Arial" w:cs="Arial"/>
          <w:color w:val="auto"/>
          <w:szCs w:val="21"/>
          <w:highlight w:val="none"/>
        </w:rPr>
      </w:pPr>
      <w:r>
        <w:rPr>
          <w:rFonts w:ascii="Arial" w:hAnsi="Arial" w:cs="Arial"/>
          <w:color w:val="auto"/>
          <w:spacing w:val="20"/>
          <w:szCs w:val="21"/>
          <w:highlight w:val="none"/>
        </w:rPr>
        <w:t>供应商公章：</w:t>
      </w:r>
      <w:r>
        <w:rPr>
          <w:rFonts w:ascii="Arial" w:hAnsi="Arial" w:cs="Arial"/>
          <w:color w:val="auto"/>
          <w:spacing w:val="20"/>
          <w:szCs w:val="21"/>
          <w:highlight w:val="none"/>
          <w:u w:val="single"/>
        </w:rPr>
        <w:t xml:space="preserve">            </w:t>
      </w:r>
      <w:r>
        <w:rPr>
          <w:rFonts w:ascii="Arial" w:hAnsi="Arial" w:cs="Arial"/>
          <w:color w:val="auto"/>
          <w:spacing w:val="20"/>
          <w:szCs w:val="21"/>
          <w:highlight w:val="none"/>
        </w:rPr>
        <w:t xml:space="preserve">              日  期：</w:t>
      </w:r>
      <w:r>
        <w:rPr>
          <w:rFonts w:ascii="Arial" w:hAnsi="Arial" w:cs="Arial"/>
          <w:color w:val="auto"/>
          <w:spacing w:val="20"/>
          <w:szCs w:val="21"/>
          <w:highlight w:val="none"/>
          <w:u w:val="single"/>
        </w:rPr>
        <w:t xml:space="preserve">          </w:t>
      </w:r>
    </w:p>
    <w:p>
      <w:pPr>
        <w:rPr>
          <w:rFonts w:ascii="Arial" w:hAnsi="Arial" w:cs="Arial"/>
          <w:color w:val="auto"/>
          <w:szCs w:val="21"/>
          <w:highlight w:val="none"/>
        </w:rPr>
      </w:pPr>
    </w:p>
    <w:p>
      <w:pPr>
        <w:rPr>
          <w:rFonts w:ascii="Arial" w:hAnsi="Arial" w:cs="Arial"/>
          <w:color w:val="auto"/>
          <w:szCs w:val="21"/>
          <w:highlight w:val="none"/>
        </w:rPr>
      </w:pPr>
      <w:bookmarkStart w:id="53" w:name="_Hlk19115689"/>
      <w:r>
        <w:rPr>
          <w:rFonts w:ascii="Arial" w:hAnsi="Arial" w:cs="Arial"/>
          <w:color w:val="auto"/>
          <w:szCs w:val="21"/>
          <w:highlight w:val="none"/>
        </w:rPr>
        <w:t>3．响应货物或产品的质量保证说明</w:t>
      </w:r>
    </w:p>
    <w:p>
      <w:pPr>
        <w:rPr>
          <w:rFonts w:ascii="Arial" w:hAnsi="Arial" w:cs="Arial"/>
          <w:color w:val="auto"/>
          <w:szCs w:val="21"/>
          <w:highlight w:val="none"/>
        </w:rPr>
      </w:pPr>
    </w:p>
    <w:p>
      <w:pPr>
        <w:rPr>
          <w:rFonts w:ascii="Arial" w:hAnsi="Arial" w:cs="Arial"/>
          <w:color w:val="auto"/>
          <w:szCs w:val="21"/>
          <w:highlight w:val="none"/>
        </w:rPr>
      </w:pPr>
    </w:p>
    <w:p>
      <w:pPr>
        <w:jc w:val="left"/>
        <w:rPr>
          <w:rFonts w:ascii="Arial" w:hAnsi="Arial" w:cs="Arial"/>
          <w:color w:val="auto"/>
          <w:szCs w:val="21"/>
          <w:highlight w:val="none"/>
        </w:rPr>
      </w:pPr>
      <w:r>
        <w:rPr>
          <w:rFonts w:ascii="Arial" w:hAnsi="Arial" w:cs="Arial"/>
          <w:color w:val="auto"/>
          <w:szCs w:val="21"/>
          <w:highlight w:val="none"/>
        </w:rPr>
        <w:t>4．质量保证期过后的优惠条件：供应商承诺给予采购人的各种优惠条件，包括货物或产品的售后服务、备品备件、专用耗材等方面的优惠条件。</w:t>
      </w:r>
    </w:p>
    <w:p>
      <w:pPr>
        <w:jc w:val="center"/>
        <w:rPr>
          <w:rFonts w:ascii="Arial" w:hAnsi="Arial" w:cs="Arial"/>
          <w:color w:val="auto"/>
          <w:szCs w:val="21"/>
          <w:highlight w:val="none"/>
        </w:rPr>
      </w:pPr>
    </w:p>
    <w:p>
      <w:pPr>
        <w:jc w:val="center"/>
        <w:rPr>
          <w:rFonts w:ascii="Arial" w:hAnsi="Arial" w:cs="Arial"/>
          <w:color w:val="auto"/>
          <w:szCs w:val="21"/>
          <w:highlight w:val="none"/>
        </w:rPr>
      </w:pPr>
    </w:p>
    <w:p>
      <w:pPr>
        <w:jc w:val="center"/>
        <w:rPr>
          <w:rFonts w:ascii="Arial" w:hAnsi="Arial" w:cs="Arial"/>
          <w:color w:val="auto"/>
          <w:szCs w:val="21"/>
          <w:highlight w:val="none"/>
        </w:rPr>
      </w:pPr>
      <w:r>
        <w:rPr>
          <w:rFonts w:ascii="Arial" w:hAnsi="Arial" w:cs="Arial"/>
          <w:color w:val="auto"/>
          <w:szCs w:val="21"/>
          <w:highlight w:val="none"/>
        </w:rPr>
        <w:t>常用的、容易损坏的备品备件及易损件的优惠价格清单</w:t>
      </w:r>
    </w:p>
    <w:tbl>
      <w:tblPr>
        <w:tblStyle w:val="41"/>
        <w:tblW w:w="89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50"/>
        <w:gridCol w:w="3124"/>
        <w:gridCol w:w="2276"/>
        <w:gridCol w:w="1639"/>
        <w:gridCol w:w="10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2" w:hRule="atLeast"/>
        </w:trPr>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ascii="Arial" w:hAnsi="Arial" w:cs="Arial"/>
                <w:color w:val="auto"/>
                <w:szCs w:val="21"/>
                <w:highlight w:val="none"/>
              </w:rPr>
            </w:pPr>
            <w:r>
              <w:rPr>
                <w:rFonts w:ascii="Arial" w:hAnsi="Arial" w:cs="Arial"/>
                <w:color w:val="auto"/>
                <w:szCs w:val="21"/>
                <w:highlight w:val="none"/>
              </w:rPr>
              <w:t>序号</w:t>
            </w:r>
          </w:p>
        </w:tc>
        <w:tc>
          <w:tcPr>
            <w:tcW w:w="3124" w:type="dxa"/>
            <w:tcBorders>
              <w:top w:val="single" w:color="auto" w:sz="4" w:space="0"/>
              <w:left w:val="single" w:color="auto" w:sz="4" w:space="0"/>
              <w:bottom w:val="single" w:color="auto" w:sz="2" w:space="0"/>
              <w:right w:val="single" w:color="auto" w:sz="4" w:space="0"/>
            </w:tcBorders>
            <w:vAlign w:val="center"/>
          </w:tcPr>
          <w:p>
            <w:pPr>
              <w:snapToGrid w:val="0"/>
              <w:spacing w:before="50" w:after="50" w:line="440" w:lineRule="exact"/>
              <w:jc w:val="center"/>
              <w:rPr>
                <w:rFonts w:ascii="Arial" w:hAnsi="Arial" w:cs="Arial"/>
                <w:color w:val="auto"/>
                <w:szCs w:val="21"/>
                <w:highlight w:val="none"/>
              </w:rPr>
            </w:pPr>
            <w:r>
              <w:rPr>
                <w:rFonts w:ascii="Arial" w:hAnsi="Arial" w:cs="Arial"/>
                <w:color w:val="auto"/>
                <w:szCs w:val="21"/>
                <w:highlight w:val="none"/>
              </w:rPr>
              <w:t>备品备件、专用耗材名称</w:t>
            </w:r>
          </w:p>
        </w:tc>
        <w:tc>
          <w:tcPr>
            <w:tcW w:w="2276"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适用于何种响应货物（产品）名称及规格型号</w:t>
            </w:r>
          </w:p>
        </w:tc>
        <w:tc>
          <w:tcPr>
            <w:tcW w:w="1639" w:type="dxa"/>
            <w:tcBorders>
              <w:top w:val="single" w:color="auto" w:sz="4" w:space="0"/>
              <w:left w:val="single" w:color="auto" w:sz="4" w:space="0"/>
              <w:bottom w:val="single" w:color="auto" w:sz="2"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优惠内容</w:t>
            </w:r>
          </w:p>
        </w:tc>
        <w:tc>
          <w:tcPr>
            <w:tcW w:w="1083"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pPr>
              <w:jc w:val="center"/>
              <w:rPr>
                <w:rFonts w:ascii="Arial" w:hAnsi="Arial" w:cs="Arial"/>
                <w:color w:val="auto"/>
                <w:szCs w:val="21"/>
                <w:highlight w:val="none"/>
              </w:rPr>
            </w:pPr>
            <w:r>
              <w:rPr>
                <w:rFonts w:ascii="Arial" w:hAnsi="Arial" w:cs="Arial"/>
                <w:color w:val="auto"/>
                <w:szCs w:val="21"/>
                <w:highlight w:val="none"/>
              </w:rPr>
              <w:t>优惠单价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auto"/>
                <w:szCs w:val="21"/>
                <w:highlight w:val="none"/>
              </w:rPr>
            </w:pPr>
            <w:r>
              <w:rPr>
                <w:rFonts w:ascii="Arial" w:hAnsi="Arial" w:cs="Arial"/>
                <w:color w:val="auto"/>
                <w:szCs w:val="21"/>
                <w:highlight w:val="none"/>
              </w:rPr>
              <w:t>1</w:t>
            </w:r>
          </w:p>
        </w:tc>
        <w:tc>
          <w:tcPr>
            <w:tcW w:w="3124" w:type="dxa"/>
            <w:tcBorders>
              <w:top w:val="single" w:color="auto" w:sz="2" w:space="0"/>
              <w:left w:val="single" w:color="auto" w:sz="2" w:space="0"/>
              <w:bottom w:val="single" w:color="auto" w:sz="6" w:space="0"/>
              <w:right w:val="single" w:color="auto" w:sz="4" w:space="0"/>
            </w:tcBorders>
            <w:vAlign w:val="center"/>
          </w:tcPr>
          <w:p>
            <w:pPr>
              <w:rPr>
                <w:rFonts w:ascii="Arial" w:hAnsi="Arial" w:cs="Arial"/>
                <w:color w:val="auto"/>
                <w:szCs w:val="21"/>
                <w:highlight w:val="none"/>
              </w:rPr>
            </w:pPr>
          </w:p>
        </w:tc>
        <w:tc>
          <w:tcPr>
            <w:tcW w:w="2276" w:type="dxa"/>
            <w:tcBorders>
              <w:top w:val="single" w:color="auto" w:sz="2" w:space="0"/>
              <w:left w:val="single" w:color="auto" w:sz="4" w:space="0"/>
              <w:bottom w:val="single" w:color="auto" w:sz="6" w:space="0"/>
              <w:right w:val="single" w:color="auto" w:sz="6" w:space="0"/>
            </w:tcBorders>
            <w:vAlign w:val="center"/>
          </w:tcPr>
          <w:p>
            <w:pPr>
              <w:rPr>
                <w:rFonts w:ascii="Arial" w:hAnsi="Arial" w:cs="Arial"/>
                <w:color w:val="auto"/>
                <w:szCs w:val="21"/>
                <w:highlight w:val="none"/>
              </w:rPr>
            </w:pPr>
          </w:p>
        </w:tc>
        <w:tc>
          <w:tcPr>
            <w:tcW w:w="1639" w:type="dxa"/>
            <w:tcBorders>
              <w:top w:val="single" w:color="auto" w:sz="2" w:space="0"/>
              <w:left w:val="single" w:color="auto" w:sz="6" w:space="0"/>
              <w:bottom w:val="single" w:color="auto" w:sz="6" w:space="0"/>
              <w:right w:val="single" w:color="auto" w:sz="6" w:space="0"/>
            </w:tcBorders>
          </w:tcPr>
          <w:p>
            <w:pPr>
              <w:rPr>
                <w:rFonts w:ascii="Arial" w:hAnsi="Arial" w:cs="Arial"/>
                <w:color w:val="auto"/>
                <w:szCs w:val="21"/>
                <w:highlight w:val="none"/>
              </w:rPr>
            </w:pPr>
          </w:p>
        </w:tc>
        <w:tc>
          <w:tcPr>
            <w:tcW w:w="1083"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auto"/>
                <w:szCs w:val="21"/>
                <w:highlight w:val="none"/>
              </w:rPr>
            </w:pPr>
            <w:r>
              <w:rPr>
                <w:rFonts w:ascii="Arial" w:hAnsi="Arial" w:cs="Arial"/>
                <w:color w:val="auto"/>
                <w:szCs w:val="21"/>
                <w:highlight w:val="none"/>
              </w:rPr>
              <w:t>2</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90" w:hRule="atLeast"/>
        </w:trPr>
        <w:tc>
          <w:tcPr>
            <w:tcW w:w="850"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pPr>
              <w:jc w:val="center"/>
              <w:rPr>
                <w:rFonts w:ascii="Arial" w:hAnsi="Arial" w:cs="Arial"/>
                <w:color w:val="auto"/>
                <w:szCs w:val="21"/>
                <w:highlight w:val="none"/>
              </w:rPr>
            </w:pPr>
            <w:r>
              <w:rPr>
                <w:rFonts w:ascii="Arial" w:hAnsi="Arial" w:cs="Arial"/>
                <w:color w:val="auto"/>
                <w:szCs w:val="21"/>
                <w:highlight w:val="none"/>
              </w:rPr>
              <w:t>3</w:t>
            </w:r>
          </w:p>
        </w:tc>
        <w:tc>
          <w:tcPr>
            <w:tcW w:w="3124" w:type="dxa"/>
            <w:tcBorders>
              <w:top w:val="single" w:color="auto" w:sz="6" w:space="0"/>
              <w:left w:val="single" w:color="auto" w:sz="2" w:space="0"/>
              <w:bottom w:val="single" w:color="auto" w:sz="6" w:space="0"/>
              <w:right w:val="single" w:color="auto" w:sz="4" w:space="0"/>
            </w:tcBorders>
            <w:vAlign w:val="center"/>
          </w:tcPr>
          <w:p>
            <w:pPr>
              <w:rPr>
                <w:rFonts w:ascii="Arial" w:hAnsi="Arial" w:cs="Arial"/>
                <w:color w:val="auto"/>
                <w:szCs w:val="21"/>
                <w:highlight w:val="none"/>
              </w:rPr>
            </w:pPr>
          </w:p>
        </w:tc>
        <w:tc>
          <w:tcPr>
            <w:tcW w:w="2276" w:type="dxa"/>
            <w:tcBorders>
              <w:top w:val="single" w:color="auto" w:sz="6" w:space="0"/>
              <w:left w:val="single" w:color="auto" w:sz="4" w:space="0"/>
              <w:bottom w:val="single" w:color="auto" w:sz="6" w:space="0"/>
              <w:right w:val="single" w:color="auto" w:sz="6" w:space="0"/>
            </w:tcBorders>
            <w:vAlign w:val="center"/>
          </w:tcPr>
          <w:p>
            <w:pPr>
              <w:rPr>
                <w:rFonts w:ascii="Arial" w:hAnsi="Arial" w:cs="Arial"/>
                <w:color w:val="auto"/>
                <w:szCs w:val="21"/>
                <w:highlight w:val="none"/>
              </w:rPr>
            </w:pPr>
          </w:p>
        </w:tc>
        <w:tc>
          <w:tcPr>
            <w:tcW w:w="1639" w:type="dxa"/>
            <w:tcBorders>
              <w:top w:val="single" w:color="auto" w:sz="6" w:space="0"/>
              <w:left w:val="single" w:color="auto" w:sz="6" w:space="0"/>
              <w:bottom w:val="single" w:color="auto" w:sz="6" w:space="0"/>
              <w:right w:val="single" w:color="auto" w:sz="6" w:space="0"/>
            </w:tcBorders>
          </w:tcPr>
          <w:p>
            <w:pPr>
              <w:rPr>
                <w:rFonts w:ascii="Arial" w:hAnsi="Arial" w:cs="Arial"/>
                <w:color w:val="auto"/>
                <w:szCs w:val="21"/>
                <w:highlight w:val="none"/>
              </w:rPr>
            </w:pPr>
          </w:p>
        </w:tc>
        <w:tc>
          <w:tcPr>
            <w:tcW w:w="1083"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pPr>
              <w:rPr>
                <w:rFonts w:ascii="Arial" w:hAnsi="Arial" w:cs="Arial"/>
                <w:color w:val="auto"/>
                <w:szCs w:val="21"/>
                <w:highlight w:val="none"/>
              </w:rPr>
            </w:pPr>
          </w:p>
        </w:tc>
      </w:tr>
    </w:tbl>
    <w:p>
      <w:pPr>
        <w:rPr>
          <w:rFonts w:ascii="Arial" w:hAnsi="Arial" w:cs="Arial"/>
          <w:color w:val="auto"/>
          <w:spacing w:val="20"/>
          <w:szCs w:val="21"/>
          <w:highlight w:val="none"/>
          <w:u w:val="single"/>
        </w:rPr>
      </w:pPr>
      <w:r>
        <w:rPr>
          <w:rFonts w:ascii="Arial" w:hAnsi="Arial" w:cs="Arial"/>
          <w:color w:val="auto"/>
          <w:szCs w:val="21"/>
          <w:highlight w:val="none"/>
        </w:rPr>
        <w:t>法定代表人或授权代表签字或盖章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rPr>
          <w:rFonts w:ascii="Arial" w:hAnsi="Arial" w:cs="Arial"/>
          <w:color w:val="auto"/>
          <w:szCs w:val="21"/>
          <w:highlight w:val="none"/>
        </w:rPr>
      </w:pPr>
      <w:r>
        <w:rPr>
          <w:rFonts w:ascii="Arial" w:hAnsi="Arial" w:cs="Arial"/>
          <w:color w:val="auto"/>
          <w:spacing w:val="20"/>
          <w:szCs w:val="21"/>
          <w:highlight w:val="none"/>
        </w:rPr>
        <w:t>供应商公章：</w:t>
      </w:r>
      <w:r>
        <w:rPr>
          <w:rFonts w:ascii="Arial" w:hAnsi="Arial" w:cs="Arial"/>
          <w:color w:val="auto"/>
          <w:spacing w:val="20"/>
          <w:szCs w:val="21"/>
          <w:highlight w:val="none"/>
          <w:u w:val="single"/>
        </w:rPr>
        <w:t xml:space="preserve">            </w:t>
      </w:r>
      <w:r>
        <w:rPr>
          <w:rFonts w:ascii="Arial" w:hAnsi="Arial" w:cs="Arial"/>
          <w:color w:val="auto"/>
          <w:spacing w:val="20"/>
          <w:szCs w:val="21"/>
          <w:highlight w:val="none"/>
        </w:rPr>
        <w:t xml:space="preserve">            日 期：</w:t>
      </w:r>
      <w:r>
        <w:rPr>
          <w:rFonts w:ascii="Arial" w:hAnsi="Arial" w:cs="Arial"/>
          <w:color w:val="auto"/>
          <w:spacing w:val="20"/>
          <w:szCs w:val="21"/>
          <w:highlight w:val="none"/>
          <w:u w:val="single"/>
        </w:rPr>
        <w:t xml:space="preserve">            </w:t>
      </w:r>
    </w:p>
    <w:bookmarkEnd w:id="53"/>
    <w:p>
      <w:pPr>
        <w:snapToGrid w:val="0"/>
        <w:spacing w:before="50" w:after="120" w:afterLines="50" w:line="440" w:lineRule="exact"/>
        <w:jc w:val="left"/>
        <w:rPr>
          <w:rFonts w:ascii="Arial" w:hAnsi="Arial" w:cs="Arial"/>
          <w:color w:val="auto"/>
          <w:highlight w:val="none"/>
        </w:rPr>
      </w:pPr>
    </w:p>
    <w:p>
      <w:pPr>
        <w:snapToGrid w:val="0"/>
        <w:spacing w:before="50" w:after="120" w:afterLines="50" w:line="440" w:lineRule="exact"/>
        <w:jc w:val="left"/>
        <w:rPr>
          <w:rFonts w:ascii="Arial" w:hAnsi="Arial" w:cs="Arial"/>
          <w:color w:val="auto"/>
          <w:szCs w:val="21"/>
          <w:highlight w:val="none"/>
        </w:rPr>
      </w:pPr>
      <w:r>
        <w:rPr>
          <w:rFonts w:ascii="Arial" w:hAnsi="Arial" w:cs="Arial"/>
          <w:color w:val="auto"/>
          <w:szCs w:val="21"/>
          <w:highlight w:val="none"/>
        </w:rPr>
        <w:t>5．对本项目第二章《项目采购需求》商务要求的响应偏离表</w:t>
      </w:r>
      <w:r>
        <w:rPr>
          <w:rFonts w:ascii="Arial" w:hAnsi="Arial" w:cs="Arial"/>
          <w:b/>
          <w:color w:val="auto"/>
          <w:szCs w:val="21"/>
          <w:highlight w:val="none"/>
        </w:rPr>
        <w:t>（</w:t>
      </w:r>
      <w:r>
        <w:rPr>
          <w:rFonts w:ascii="Arial" w:hAnsi="Arial" w:cs="Arial"/>
          <w:b/>
          <w:color w:val="auto"/>
          <w:highlight w:val="none"/>
        </w:rPr>
        <w:t>必须提供</w:t>
      </w:r>
      <w:r>
        <w:rPr>
          <w:rFonts w:ascii="Arial" w:hAnsi="Arial" w:cs="Arial"/>
          <w:b/>
          <w:color w:val="auto"/>
          <w:szCs w:val="21"/>
          <w:highlight w:val="none"/>
        </w:rPr>
        <w:t>）</w:t>
      </w:r>
      <w:r>
        <w:rPr>
          <w:rFonts w:ascii="Arial" w:hAnsi="Arial" w:cs="Arial"/>
          <w:color w:val="auto"/>
          <w:szCs w:val="21"/>
          <w:highlight w:val="none"/>
        </w:rPr>
        <w:t>：</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3595"/>
        <w:gridCol w:w="3405"/>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序号</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谈判文件要求（注明章节及条款号）</w:t>
            </w: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响应文件响应内容（可注明所在页码）</w:t>
            </w: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highlight w:val="none"/>
              </w:rPr>
              <w:t>偏离</w:t>
            </w:r>
            <w:r>
              <w:rPr>
                <w:rFonts w:ascii="Arial" w:hAnsi="Arial" w:cs="Arial"/>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before="120" w:beforeLines="50"/>
              <w:jc w:val="center"/>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exact"/>
          <w:jc w:val="center"/>
        </w:trPr>
        <w:tc>
          <w:tcPr>
            <w:tcW w:w="74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r>
              <w:rPr>
                <w:rFonts w:ascii="Arial" w:hAnsi="Arial" w:cs="Arial"/>
                <w:color w:val="auto"/>
                <w:szCs w:val="21"/>
                <w:highlight w:val="none"/>
              </w:rPr>
              <w:t>……</w:t>
            </w:r>
          </w:p>
        </w:tc>
        <w:tc>
          <w:tcPr>
            <w:tcW w:w="359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340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Arial" w:hAnsi="Arial" w:cs="Arial"/>
                <w:color w:val="auto"/>
                <w:szCs w:val="21"/>
                <w:highlight w:val="none"/>
              </w:rPr>
            </w:pPr>
          </w:p>
        </w:tc>
      </w:tr>
    </w:tbl>
    <w:p>
      <w:pPr>
        <w:pStyle w:val="23"/>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注：</w:t>
      </w:r>
    </w:p>
    <w:p>
      <w:pPr>
        <w:pStyle w:val="23"/>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（1）本表应对谈判文件第二章《项目采购需求》中所列商务要求进行响应；</w:t>
      </w:r>
    </w:p>
    <w:p>
      <w:pPr>
        <w:pStyle w:val="23"/>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2）本表内容必须如实填写，并根据响应情况在“偏离说明”栏填写正偏离或负偏离及原因，完全符合的填写“无偏离”。填写“无偏离”时，如相应条款在响应文件其他部分描述明确不满足谈判文件要求时，谈判小组将按不满足要求进行评审。</w:t>
      </w:r>
    </w:p>
    <w:p>
      <w:pPr>
        <w:pStyle w:val="23"/>
        <w:tabs>
          <w:tab w:val="left" w:pos="2127"/>
        </w:tabs>
        <w:spacing w:line="340" w:lineRule="exact"/>
        <w:ind w:firstLine="420" w:firstLineChars="200"/>
        <w:jc w:val="left"/>
        <w:rPr>
          <w:rFonts w:ascii="Arial" w:hAnsi="Arial" w:cs="Arial"/>
          <w:color w:val="auto"/>
          <w:highlight w:val="none"/>
        </w:rPr>
      </w:pPr>
      <w:r>
        <w:rPr>
          <w:rFonts w:ascii="Arial" w:hAnsi="Arial" w:cs="Arial"/>
          <w:color w:val="auto"/>
          <w:highlight w:val="none"/>
        </w:rPr>
        <w:t>（3）本表可扩展。</w:t>
      </w:r>
    </w:p>
    <w:p>
      <w:pPr>
        <w:snapToGrid w:val="0"/>
        <w:spacing w:before="50" w:after="50" w:line="440" w:lineRule="exact"/>
        <w:rPr>
          <w:rFonts w:ascii="Arial" w:hAnsi="Arial" w:cs="Arial"/>
          <w:color w:val="auto"/>
          <w:spacing w:val="20"/>
          <w:szCs w:val="21"/>
          <w:highlight w:val="none"/>
          <w:u w:val="single"/>
        </w:rPr>
      </w:pPr>
      <w:r>
        <w:rPr>
          <w:rFonts w:ascii="Arial" w:hAnsi="Arial" w:cs="Arial"/>
          <w:color w:val="auto"/>
          <w:highlight w:val="none"/>
        </w:rPr>
        <w:t>法定代表人或授权代表签字或盖章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napToGrid w:val="0"/>
        <w:spacing w:before="50" w:after="120" w:afterLines="50" w:line="440" w:lineRule="exact"/>
        <w:jc w:val="left"/>
        <w:rPr>
          <w:rFonts w:ascii="Arial" w:hAnsi="Arial" w:cs="Arial"/>
          <w:color w:val="auto"/>
          <w:spacing w:val="20"/>
          <w:szCs w:val="21"/>
          <w:highlight w:val="none"/>
          <w:u w:val="single"/>
        </w:rPr>
      </w:pPr>
      <w:r>
        <w:rPr>
          <w:rFonts w:ascii="Arial" w:hAnsi="Arial" w:cs="Arial"/>
          <w:color w:val="auto"/>
          <w:spacing w:val="20"/>
          <w:szCs w:val="21"/>
          <w:highlight w:val="none"/>
        </w:rPr>
        <w:t>供应商公章：</w:t>
      </w:r>
      <w:r>
        <w:rPr>
          <w:rFonts w:ascii="Arial" w:hAnsi="Arial" w:cs="Arial"/>
          <w:color w:val="auto"/>
          <w:spacing w:val="20"/>
          <w:szCs w:val="21"/>
          <w:highlight w:val="none"/>
          <w:u w:val="single"/>
        </w:rPr>
        <w:t xml:space="preserve">            </w:t>
      </w:r>
      <w:r>
        <w:rPr>
          <w:rFonts w:ascii="Arial" w:hAnsi="Arial" w:cs="Arial"/>
          <w:color w:val="auto"/>
          <w:spacing w:val="20"/>
          <w:szCs w:val="21"/>
          <w:highlight w:val="none"/>
        </w:rPr>
        <w:t xml:space="preserve">             日  期：</w:t>
      </w:r>
      <w:r>
        <w:rPr>
          <w:rFonts w:ascii="Arial" w:hAnsi="Arial" w:cs="Arial"/>
          <w:color w:val="auto"/>
          <w:spacing w:val="20"/>
          <w:szCs w:val="21"/>
          <w:highlight w:val="none"/>
          <w:u w:val="single"/>
        </w:rPr>
        <w:t xml:space="preserve">        </w:t>
      </w:r>
    </w:p>
    <w:bookmarkEnd w:id="52"/>
    <w:p>
      <w:pPr>
        <w:snapToGrid w:val="0"/>
        <w:spacing w:before="50" w:after="120" w:afterLines="50" w:line="440" w:lineRule="exact"/>
        <w:jc w:val="left"/>
        <w:rPr>
          <w:rFonts w:ascii="Arial" w:hAnsi="Arial" w:cs="Arial"/>
          <w:color w:val="auto"/>
          <w:spacing w:val="20"/>
          <w:szCs w:val="21"/>
          <w:highlight w:val="none"/>
          <w:u w:val="single"/>
        </w:rPr>
      </w:pPr>
    </w:p>
    <w:p>
      <w:pPr>
        <w:snapToGrid w:val="0"/>
        <w:spacing w:before="50" w:after="120" w:afterLines="50" w:line="440" w:lineRule="exact"/>
        <w:jc w:val="left"/>
        <w:rPr>
          <w:rFonts w:ascii="Arial" w:hAnsi="Arial" w:cs="Arial"/>
          <w:color w:val="auto"/>
          <w:spacing w:val="20"/>
          <w:szCs w:val="21"/>
          <w:highlight w:val="none"/>
          <w:u w:val="single"/>
        </w:rPr>
      </w:pP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6．实施方案。（如有，自行编写）</w:t>
      </w: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color w:val="auto"/>
          <w:szCs w:val="21"/>
          <w:highlight w:val="none"/>
        </w:rPr>
      </w:pPr>
      <w:r>
        <w:rPr>
          <w:rFonts w:ascii="Arial" w:hAnsi="Arial" w:cs="Arial"/>
          <w:color w:val="auto"/>
          <w:szCs w:val="21"/>
          <w:highlight w:val="none"/>
        </w:rPr>
        <w:t>7．供应商认为需提供的其他材料（根据谈判文件要求编写）</w:t>
      </w:r>
    </w:p>
    <w:p>
      <w:pPr>
        <w:snapToGrid w:val="0"/>
        <w:spacing w:before="50" w:after="120" w:afterLines="50" w:line="440" w:lineRule="exact"/>
        <w:jc w:val="left"/>
        <w:rPr>
          <w:rFonts w:ascii="Arial" w:hAnsi="Arial" w:cs="Arial"/>
          <w:color w:val="auto"/>
          <w:spacing w:val="20"/>
          <w:szCs w:val="21"/>
          <w:highlight w:val="none"/>
          <w:u w:val="single"/>
        </w:rPr>
      </w:pPr>
    </w:p>
    <w:p>
      <w:pPr>
        <w:snapToGrid w:val="0"/>
        <w:spacing w:before="50" w:after="120" w:afterLines="50"/>
        <w:jc w:val="left"/>
        <w:rPr>
          <w:rFonts w:ascii="Arial" w:hAnsi="Arial" w:cs="Arial"/>
          <w:color w:val="auto"/>
          <w:spacing w:val="20"/>
          <w:szCs w:val="21"/>
          <w:highlight w:val="none"/>
          <w:u w:val="single"/>
        </w:rPr>
      </w:pPr>
    </w:p>
    <w:p>
      <w:pPr>
        <w:rPr>
          <w:rFonts w:ascii="Arial" w:hAnsi="Arial" w:cs="Arial"/>
          <w:color w:val="auto"/>
          <w:spacing w:val="20"/>
          <w:szCs w:val="21"/>
          <w:highlight w:val="none"/>
          <w:u w:val="single"/>
        </w:rPr>
      </w:pPr>
    </w:p>
    <w:p>
      <w:pPr>
        <w:rPr>
          <w:rFonts w:ascii="Arial" w:hAnsi="Arial" w:cs="Arial"/>
          <w:color w:val="auto"/>
          <w:szCs w:val="21"/>
          <w:highlight w:val="none"/>
        </w:rPr>
        <w:sectPr>
          <w:pgSz w:w="11906" w:h="16838"/>
          <w:pgMar w:top="1418" w:right="1274" w:bottom="1418" w:left="1418" w:header="851" w:footer="992" w:gutter="0"/>
          <w:cols w:space="720" w:num="1"/>
          <w:docGrid w:linePitch="312" w:charSpace="0"/>
        </w:sectPr>
      </w:pPr>
    </w:p>
    <w:p>
      <w:pPr>
        <w:snapToGrid w:val="0"/>
        <w:spacing w:before="50" w:after="120" w:afterLines="50"/>
        <w:jc w:val="left"/>
        <w:rPr>
          <w:rFonts w:ascii="Arial" w:hAnsi="Arial" w:cs="Arial"/>
          <w:b/>
          <w:color w:val="auto"/>
          <w:szCs w:val="21"/>
          <w:highlight w:val="none"/>
        </w:rPr>
      </w:pPr>
      <w:bookmarkStart w:id="54" w:name="_Hlk21623752"/>
      <w:r>
        <w:rPr>
          <w:rFonts w:ascii="Arial" w:hAnsi="Arial" w:cs="Arial"/>
          <w:color w:val="auto"/>
          <w:szCs w:val="21"/>
          <w:highlight w:val="none"/>
        </w:rPr>
        <w:t>8．近年供应商类似成功案例的业绩证明</w:t>
      </w:r>
    </w:p>
    <w:p>
      <w:pPr>
        <w:snapToGrid w:val="0"/>
        <w:spacing w:before="50" w:after="120" w:afterLines="50"/>
        <w:jc w:val="center"/>
        <w:rPr>
          <w:rFonts w:ascii="Arial" w:hAnsi="Arial" w:cs="Arial"/>
          <w:color w:val="auto"/>
          <w:szCs w:val="21"/>
          <w:highlight w:val="none"/>
        </w:rPr>
      </w:pPr>
      <w:r>
        <w:rPr>
          <w:rFonts w:ascii="Arial" w:hAnsi="Arial" w:cs="Arial"/>
          <w:b/>
          <w:color w:val="auto"/>
          <w:szCs w:val="21"/>
          <w:highlight w:val="none"/>
        </w:rPr>
        <w:t>类似成功案例业绩一览表</w:t>
      </w:r>
    </w:p>
    <w:tbl>
      <w:tblPr>
        <w:tblStyle w:val="4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15"/>
        <w:gridCol w:w="4054"/>
        <w:gridCol w:w="1280"/>
        <w:gridCol w:w="1280"/>
        <w:gridCol w:w="1707"/>
        <w:gridCol w:w="25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31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采购单位名称</w:t>
            </w:r>
          </w:p>
        </w:tc>
        <w:tc>
          <w:tcPr>
            <w:tcW w:w="405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项目名称或服务内容</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服务</w:t>
            </w:r>
          </w:p>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数量或年限</w:t>
            </w:r>
          </w:p>
        </w:tc>
        <w:tc>
          <w:tcPr>
            <w:tcW w:w="128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单价（元）</w:t>
            </w:r>
          </w:p>
        </w:tc>
        <w:tc>
          <w:tcPr>
            <w:tcW w:w="1707"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合同总价</w:t>
            </w:r>
          </w:p>
          <w:p>
            <w:pPr>
              <w:snapToGrid w:val="0"/>
              <w:spacing w:line="240" w:lineRule="exact"/>
              <w:jc w:val="center"/>
              <w:rPr>
                <w:rFonts w:ascii="Arial" w:hAnsi="Arial" w:cs="Arial"/>
                <w:color w:val="auto"/>
                <w:szCs w:val="21"/>
                <w:highlight w:val="none"/>
              </w:rPr>
            </w:pPr>
            <w:r>
              <w:rPr>
                <w:rFonts w:ascii="Arial" w:hAnsi="Arial" w:cs="Arial"/>
                <w:color w:val="auto"/>
                <w:szCs w:val="21"/>
                <w:highlight w:val="none"/>
              </w:rPr>
              <w:t>（元）</w:t>
            </w:r>
          </w:p>
        </w:tc>
        <w:tc>
          <w:tcPr>
            <w:tcW w:w="25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8" w:hRule="atLeast"/>
        </w:trPr>
        <w:tc>
          <w:tcPr>
            <w:tcW w:w="31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4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1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c>
          <w:tcPr>
            <w:tcW w:w="25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31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Arial" w:hAnsi="Arial" w:cs="Arial"/>
                <w:color w:val="auto"/>
                <w:szCs w:val="21"/>
                <w:highlight w:val="none"/>
              </w:rPr>
            </w:pPr>
          </w:p>
        </w:tc>
        <w:tc>
          <w:tcPr>
            <w:tcW w:w="40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Arial" w:hAnsi="Arial" w:cs="Arial"/>
                <w:color w:val="auto"/>
                <w:szCs w:val="21"/>
                <w:highlight w:val="none"/>
              </w:rPr>
            </w:pPr>
          </w:p>
        </w:tc>
        <w:tc>
          <w:tcPr>
            <w:tcW w:w="17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Arial" w:hAnsi="Arial" w:cs="Arial"/>
                <w:color w:val="auto"/>
                <w:szCs w:val="21"/>
                <w:highlight w:val="none"/>
              </w:rPr>
            </w:pPr>
          </w:p>
        </w:tc>
        <w:tc>
          <w:tcPr>
            <w:tcW w:w="2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40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7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2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31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40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7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2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1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40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7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2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311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405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28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170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c>
          <w:tcPr>
            <w:tcW w:w="256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before="50" w:after="120" w:afterLines="50" w:line="400" w:lineRule="exact"/>
              <w:jc w:val="left"/>
              <w:textAlignment w:val="auto"/>
              <w:rPr>
                <w:rFonts w:ascii="Arial" w:hAnsi="Arial" w:cs="Arial"/>
                <w:color w:val="auto"/>
                <w:szCs w:val="21"/>
                <w:highlight w:val="none"/>
              </w:rPr>
            </w:pPr>
          </w:p>
        </w:tc>
      </w:tr>
    </w:tbl>
    <w:p>
      <w:pPr>
        <w:pStyle w:val="14"/>
        <w:snapToGrid w:val="0"/>
        <w:rPr>
          <w:rFonts w:eastAsia="宋体"/>
          <w:color w:val="auto"/>
          <w:sz w:val="21"/>
          <w:szCs w:val="21"/>
          <w:highlight w:val="none"/>
        </w:rPr>
      </w:pPr>
      <w:r>
        <w:rPr>
          <w:rFonts w:eastAsia="宋体"/>
          <w:color w:val="auto"/>
          <w:sz w:val="21"/>
          <w:szCs w:val="21"/>
          <w:highlight w:val="none"/>
        </w:rPr>
        <w:t>注：</w:t>
      </w:r>
    </w:p>
    <w:p>
      <w:pPr>
        <w:pStyle w:val="14"/>
        <w:snapToGrid w:val="0"/>
        <w:rPr>
          <w:rFonts w:eastAsia="宋体"/>
          <w:color w:val="auto"/>
          <w:sz w:val="21"/>
          <w:szCs w:val="21"/>
          <w:highlight w:val="none"/>
        </w:rPr>
      </w:pPr>
      <w:r>
        <w:rPr>
          <w:rFonts w:eastAsia="宋体"/>
          <w:color w:val="auto"/>
          <w:szCs w:val="21"/>
          <w:highlight w:val="none"/>
        </w:rPr>
        <w:t>（1）</w:t>
      </w:r>
      <w:r>
        <w:rPr>
          <w:rFonts w:eastAsia="宋体"/>
          <w:color w:val="auto"/>
          <w:sz w:val="21"/>
          <w:szCs w:val="21"/>
          <w:highlight w:val="none"/>
        </w:rPr>
        <w:t>未附证明材料的业绩无效，证明材料以</w:t>
      </w:r>
      <w:r>
        <w:rPr>
          <w:rFonts w:hint="eastAsia" w:eastAsia="宋体"/>
          <w:color w:val="auto"/>
          <w:sz w:val="21"/>
          <w:szCs w:val="21"/>
          <w:highlight w:val="none"/>
        </w:rPr>
        <w:t>成交</w:t>
      </w:r>
      <w:r>
        <w:rPr>
          <w:rFonts w:eastAsia="宋体"/>
          <w:color w:val="auto"/>
          <w:sz w:val="21"/>
          <w:szCs w:val="21"/>
          <w:highlight w:val="none"/>
        </w:rPr>
        <w:t>通知书或合同复印件为准。</w:t>
      </w:r>
    </w:p>
    <w:p>
      <w:pPr>
        <w:pStyle w:val="14"/>
        <w:snapToGrid w:val="0"/>
        <w:rPr>
          <w:rFonts w:eastAsia="宋体"/>
          <w:color w:val="auto"/>
          <w:sz w:val="21"/>
          <w:szCs w:val="21"/>
          <w:highlight w:val="none"/>
        </w:rPr>
      </w:pPr>
      <w:r>
        <w:rPr>
          <w:rFonts w:eastAsia="宋体"/>
          <w:color w:val="auto"/>
          <w:szCs w:val="21"/>
          <w:highlight w:val="none"/>
        </w:rPr>
        <w:t>（2）</w:t>
      </w:r>
      <w:r>
        <w:rPr>
          <w:rFonts w:eastAsia="宋体"/>
          <w:color w:val="auto"/>
          <w:sz w:val="21"/>
          <w:szCs w:val="21"/>
          <w:highlight w:val="none"/>
        </w:rPr>
        <w:t>类似项目的定义：</w:t>
      </w:r>
      <w:r>
        <w:rPr>
          <w:rFonts w:eastAsia="宋体"/>
          <w:color w:val="auto"/>
          <w:sz w:val="21"/>
          <w:szCs w:val="21"/>
          <w:highlight w:val="none"/>
          <w:u w:val="single"/>
        </w:rPr>
        <w:t xml:space="preserve">                </w:t>
      </w:r>
      <w:r>
        <w:rPr>
          <w:rFonts w:eastAsia="宋体"/>
          <w:color w:val="auto"/>
          <w:sz w:val="21"/>
          <w:szCs w:val="21"/>
          <w:highlight w:val="none"/>
        </w:rPr>
        <w:t>。</w:t>
      </w:r>
    </w:p>
    <w:p>
      <w:pPr>
        <w:rPr>
          <w:rFonts w:ascii="Arial" w:hAnsi="Arial" w:cs="Arial"/>
          <w:color w:val="auto"/>
          <w:highlight w:val="none"/>
        </w:rPr>
      </w:pPr>
      <w:r>
        <w:rPr>
          <w:rFonts w:ascii="Arial" w:hAnsi="Arial" w:cs="Arial"/>
          <w:color w:val="auto"/>
          <w:szCs w:val="21"/>
          <w:highlight w:val="none"/>
        </w:rPr>
        <w:t>（3）</w:t>
      </w:r>
      <w:r>
        <w:rPr>
          <w:rFonts w:ascii="Arial" w:hAnsi="Arial" w:cs="Arial"/>
          <w:color w:val="auto"/>
          <w:highlight w:val="none"/>
        </w:rPr>
        <w:t>本表可拓展并逐页签字及盖章。</w:t>
      </w:r>
    </w:p>
    <w:p>
      <w:pPr>
        <w:pStyle w:val="14"/>
        <w:snapToGrid w:val="0"/>
        <w:rPr>
          <w:rFonts w:eastAsia="宋体"/>
          <w:color w:val="auto"/>
          <w:sz w:val="21"/>
          <w:szCs w:val="21"/>
          <w:highlight w:val="none"/>
          <w:u w:val="single"/>
        </w:rPr>
      </w:pPr>
      <w:r>
        <w:rPr>
          <w:rFonts w:eastAsia="宋体"/>
          <w:color w:val="auto"/>
          <w:sz w:val="21"/>
          <w:szCs w:val="21"/>
          <w:highlight w:val="none"/>
        </w:rPr>
        <w:t>法定代表人或授权代表签名或盖章：</w:t>
      </w:r>
      <w:r>
        <w:rPr>
          <w:rFonts w:eastAsia="宋体"/>
          <w:color w:val="auto"/>
          <w:sz w:val="21"/>
          <w:szCs w:val="21"/>
          <w:highlight w:val="none"/>
          <w:u w:val="single"/>
        </w:rPr>
        <w:t>　　　　　</w:t>
      </w:r>
    </w:p>
    <w:p>
      <w:pPr>
        <w:snapToGrid w:val="0"/>
        <w:spacing w:before="50"/>
        <w:jc w:val="left"/>
        <w:rPr>
          <w:rFonts w:ascii="Arial" w:hAnsi="Arial" w:cs="Arial"/>
          <w:color w:val="auto"/>
          <w:szCs w:val="21"/>
          <w:highlight w:val="none"/>
        </w:rPr>
        <w:sectPr>
          <w:pgSz w:w="16838" w:h="11906" w:orient="landscape"/>
          <w:pgMar w:top="1274" w:right="1418" w:bottom="1418" w:left="1418" w:header="851" w:footer="992" w:gutter="0"/>
          <w:cols w:space="720" w:num="1"/>
          <w:docGrid w:linePitch="312" w:charSpace="0"/>
        </w:sectPr>
      </w:pPr>
      <w:r>
        <w:rPr>
          <w:rFonts w:ascii="Arial" w:hAnsi="Arial" w:cs="Arial"/>
          <w:color w:val="auto"/>
          <w:szCs w:val="21"/>
          <w:highlight w:val="none"/>
        </w:rPr>
        <w:t>供应商公章：</w:t>
      </w:r>
      <w:r>
        <w:rPr>
          <w:rFonts w:ascii="Arial" w:hAnsi="Arial" w:cs="Arial"/>
          <w:color w:val="auto"/>
          <w:szCs w:val="21"/>
          <w:highlight w:val="none"/>
          <w:u w:val="single"/>
        </w:rPr>
        <w:t xml:space="preserve">                 </w:t>
      </w:r>
      <w:r>
        <w:rPr>
          <w:rFonts w:ascii="Arial" w:hAnsi="Arial" w:cs="Arial"/>
          <w:color w:val="auto"/>
          <w:szCs w:val="21"/>
          <w:highlight w:val="none"/>
        </w:rPr>
        <w:t xml:space="preserve">                                           年    月   日</w:t>
      </w:r>
    </w:p>
    <w:bookmarkEnd w:id="54"/>
    <w:p>
      <w:pPr>
        <w:spacing w:line="360" w:lineRule="exact"/>
        <w:rPr>
          <w:rFonts w:ascii="Arial" w:hAnsi="Arial" w:cs="Arial"/>
          <w:color w:val="auto"/>
          <w:szCs w:val="21"/>
          <w:highlight w:val="none"/>
        </w:rPr>
      </w:pPr>
      <w:r>
        <w:rPr>
          <w:rFonts w:ascii="Arial" w:hAnsi="Arial" w:cs="Arial"/>
          <w:color w:val="auto"/>
          <w:szCs w:val="21"/>
          <w:highlight w:val="none"/>
        </w:rPr>
        <w:t>10．代理服务费承诺书</w:t>
      </w:r>
      <w:r>
        <w:rPr>
          <w:rFonts w:ascii="Arial" w:hAnsi="Arial" w:cs="Arial"/>
          <w:b/>
          <w:color w:val="auto"/>
          <w:szCs w:val="21"/>
          <w:highlight w:val="none"/>
        </w:rPr>
        <w:t>（必须提供）</w:t>
      </w:r>
    </w:p>
    <w:p>
      <w:pPr>
        <w:spacing w:line="360" w:lineRule="exact"/>
        <w:rPr>
          <w:rFonts w:ascii="Arial" w:hAnsi="Arial" w:cs="Arial"/>
          <w:color w:val="auto"/>
          <w:szCs w:val="21"/>
          <w:highlight w:val="none"/>
        </w:rPr>
      </w:pPr>
      <w:r>
        <w:rPr>
          <w:rFonts w:ascii="Arial" w:hAnsi="Arial" w:cs="Arial"/>
          <w:color w:val="auto"/>
          <w:szCs w:val="21"/>
          <w:highlight w:val="none"/>
        </w:rPr>
        <w:t>致：广西机电设备招标有限公司</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我单位参加了贵方组织的谈判项目编号为</w:t>
      </w:r>
      <w:r>
        <w:rPr>
          <w:rFonts w:ascii="Arial" w:hAnsi="Arial" w:cs="Arial"/>
          <w:b/>
          <w:color w:val="auto"/>
          <w:szCs w:val="21"/>
          <w:highlight w:val="none"/>
        </w:rPr>
        <w:t>（</w:t>
      </w:r>
      <w:r>
        <w:rPr>
          <w:rFonts w:ascii="Arial" w:hAnsi="Arial" w:cs="Arial"/>
          <w:color w:val="auto"/>
          <w:szCs w:val="21"/>
          <w:highlight w:val="none"/>
          <w:u w:val="single"/>
        </w:rPr>
        <w:t xml:space="preserve">                    )</w:t>
      </w:r>
      <w:r>
        <w:rPr>
          <w:rFonts w:ascii="Arial" w:hAnsi="Arial" w:cs="Arial"/>
          <w:color w:val="auto"/>
          <w:szCs w:val="21"/>
          <w:highlight w:val="none"/>
        </w:rPr>
        <w:t>的响应，并递交了谈判保证金</w:t>
      </w:r>
      <w:r>
        <w:rPr>
          <w:rFonts w:ascii="Arial" w:hAnsi="Arial" w:cs="Arial"/>
          <w:color w:val="auto"/>
          <w:szCs w:val="21"/>
          <w:highlight w:val="none"/>
          <w:u w:val="single"/>
        </w:rPr>
        <w:t xml:space="preserve">                  </w:t>
      </w:r>
      <w:r>
        <w:rPr>
          <w:rFonts w:ascii="Arial" w:hAnsi="Arial" w:cs="Arial"/>
          <w:color w:val="auto"/>
          <w:szCs w:val="21"/>
          <w:highlight w:val="none"/>
        </w:rPr>
        <w:t>（</w:t>
      </w:r>
      <w:r>
        <w:rPr>
          <w:rFonts w:ascii="Arial" w:hAnsi="Arial" w:cs="Arial"/>
          <w:color w:val="auto"/>
          <w:kern w:val="0"/>
          <w:szCs w:val="21"/>
          <w:highlight w:val="none"/>
        </w:rPr>
        <w:t>¥</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w:t>
      </w:r>
      <w:r>
        <w:rPr>
          <w:rFonts w:ascii="Arial" w:hAnsi="Arial" w:cs="Arial"/>
          <w:color w:val="auto"/>
          <w:szCs w:val="21"/>
          <w:highlight w:val="none"/>
          <w:u w:val="single"/>
        </w:rPr>
        <w:t xml:space="preserve">   </w:t>
      </w:r>
      <w:r>
        <w:rPr>
          <w:rFonts w:ascii="Arial" w:hAnsi="Arial" w:cs="Arial"/>
          <w:color w:val="auto"/>
          <w:szCs w:val="21"/>
          <w:highlight w:val="none"/>
        </w:rPr>
        <w:t>），在此我方说明如下：</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1．我方承诺，若我单位</w:t>
      </w:r>
      <w:r>
        <w:rPr>
          <w:rFonts w:hint="eastAsia" w:ascii="Arial" w:hAnsi="Arial" w:cs="Arial"/>
          <w:color w:val="auto"/>
          <w:szCs w:val="21"/>
          <w:highlight w:val="none"/>
        </w:rPr>
        <w:t>成交</w:t>
      </w:r>
      <w:r>
        <w:rPr>
          <w:rFonts w:ascii="Arial" w:hAnsi="Arial" w:cs="Arial"/>
          <w:color w:val="auto"/>
          <w:szCs w:val="21"/>
          <w:highlight w:val="none"/>
        </w:rPr>
        <w:t>，保证在领取</w:t>
      </w:r>
      <w:r>
        <w:rPr>
          <w:rFonts w:hint="eastAsia" w:ascii="Arial" w:hAnsi="Arial" w:cs="Arial"/>
          <w:color w:val="auto"/>
          <w:szCs w:val="21"/>
          <w:highlight w:val="none"/>
        </w:rPr>
        <w:t>成交</w:t>
      </w:r>
      <w:r>
        <w:rPr>
          <w:rFonts w:ascii="Arial" w:hAnsi="Arial" w:cs="Arial"/>
          <w:color w:val="auto"/>
          <w:szCs w:val="21"/>
          <w:highlight w:val="none"/>
        </w:rPr>
        <w:t>通知书之前，按本项目谈判文件的规定标准向贵单位支付代理服务费。如我单位未按规定缴纳代理服务费，贵方可不退还我单位提交的谈判保证金，并从中扣除代理服务费，余款按下列账户退回。</w:t>
      </w:r>
    </w:p>
    <w:p>
      <w:pPr>
        <w:snapToGrid w:val="0"/>
        <w:spacing w:before="50" w:after="120" w:afterLines="50"/>
        <w:ind w:firstLine="420" w:firstLineChars="200"/>
        <w:jc w:val="left"/>
        <w:rPr>
          <w:rFonts w:ascii="Arial" w:hAnsi="Arial" w:cs="Arial"/>
          <w:color w:val="auto"/>
          <w:szCs w:val="21"/>
          <w:highlight w:val="none"/>
        </w:rPr>
      </w:pPr>
      <w:r>
        <w:rPr>
          <w:rFonts w:ascii="Arial" w:hAnsi="Arial" w:cs="Arial"/>
          <w:color w:val="auto"/>
          <w:szCs w:val="21"/>
          <w:highlight w:val="none"/>
        </w:rPr>
        <w:t>我公司选择第</w:t>
      </w:r>
      <w:r>
        <w:rPr>
          <w:rFonts w:ascii="Arial" w:hAnsi="Arial" w:cs="Arial"/>
          <w:color w:val="auto"/>
          <w:szCs w:val="21"/>
          <w:highlight w:val="none"/>
          <w:u w:val="single"/>
        </w:rPr>
        <w:t xml:space="preserve">     </w:t>
      </w:r>
      <w:r>
        <w:rPr>
          <w:rFonts w:ascii="Arial" w:hAnsi="Arial" w:cs="Arial"/>
          <w:color w:val="auto"/>
          <w:szCs w:val="21"/>
          <w:highlight w:val="none"/>
        </w:rPr>
        <w:t>种方式缴纳代理服务费。</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第一种方式：一次性足额缴纳代理服务费。</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第二种方式：从谈判保证金中抵扣代理服务费，不足部分补交。</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2．如我单位谈判保证金无法原路返回，请按下表账户信息无息退还。</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收款户名</w:t>
            </w:r>
          </w:p>
        </w:tc>
        <w:tc>
          <w:tcPr>
            <w:tcW w:w="5431" w:type="dxa"/>
            <w:vAlign w:val="center"/>
          </w:tcPr>
          <w:p>
            <w:pPr>
              <w:spacing w:line="36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账    号</w:t>
            </w:r>
          </w:p>
        </w:tc>
        <w:tc>
          <w:tcPr>
            <w:tcW w:w="5431" w:type="dxa"/>
            <w:vAlign w:val="center"/>
          </w:tcPr>
          <w:p>
            <w:pPr>
              <w:spacing w:line="36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开户银行</w:t>
            </w:r>
          </w:p>
        </w:tc>
        <w:tc>
          <w:tcPr>
            <w:tcW w:w="5431" w:type="dxa"/>
            <w:vAlign w:val="center"/>
          </w:tcPr>
          <w:p>
            <w:pPr>
              <w:spacing w:line="360" w:lineRule="exact"/>
              <w:jc w:val="center"/>
              <w:rPr>
                <w:rFonts w:ascii="Arial" w:hAnsi="Arial"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3533" w:type="dxa"/>
            <w:vAlign w:val="center"/>
          </w:tcPr>
          <w:p>
            <w:pPr>
              <w:spacing w:line="360" w:lineRule="exact"/>
              <w:jc w:val="center"/>
              <w:rPr>
                <w:rFonts w:ascii="Arial" w:hAnsi="Arial" w:cs="Arial"/>
                <w:color w:val="auto"/>
                <w:szCs w:val="21"/>
                <w:highlight w:val="none"/>
              </w:rPr>
            </w:pPr>
            <w:r>
              <w:rPr>
                <w:rFonts w:ascii="Arial" w:hAnsi="Arial" w:cs="Arial"/>
                <w:color w:val="auto"/>
                <w:szCs w:val="21"/>
                <w:highlight w:val="none"/>
              </w:rPr>
              <w:t>银行行号</w:t>
            </w:r>
          </w:p>
        </w:tc>
        <w:tc>
          <w:tcPr>
            <w:tcW w:w="5431" w:type="dxa"/>
            <w:vAlign w:val="center"/>
          </w:tcPr>
          <w:p>
            <w:pPr>
              <w:spacing w:line="360" w:lineRule="exact"/>
              <w:jc w:val="center"/>
              <w:rPr>
                <w:rFonts w:ascii="Arial" w:hAnsi="Arial" w:cs="Arial"/>
                <w:color w:val="auto"/>
                <w:szCs w:val="21"/>
                <w:highlight w:val="none"/>
              </w:rPr>
            </w:pPr>
          </w:p>
        </w:tc>
      </w:tr>
    </w:tbl>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3．如果我单位未遵守有关谈判文件关于谈判保证金的规定，贵方可以没收我单位谈判保证金。</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4. 我单位选择第</w:t>
      </w:r>
      <w:r>
        <w:rPr>
          <w:rFonts w:ascii="Arial" w:hAnsi="Arial" w:cs="Arial"/>
          <w:color w:val="auto"/>
          <w:szCs w:val="21"/>
          <w:highlight w:val="none"/>
          <w:u w:val="single"/>
        </w:rPr>
        <w:t xml:space="preserve">     </w:t>
      </w:r>
      <w:r>
        <w:rPr>
          <w:rFonts w:ascii="Arial" w:hAnsi="Arial" w:cs="Arial"/>
          <w:color w:val="auto"/>
          <w:szCs w:val="21"/>
          <w:highlight w:val="none"/>
        </w:rPr>
        <w:t>种方式作为代理服务费开票类型：</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第一种方式：开具收据。</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第二种方式：开具增值税普通发票。 1.公司名称</w:t>
      </w:r>
      <w:r>
        <w:rPr>
          <w:rFonts w:ascii="Arial" w:hAnsi="Arial" w:cs="Arial"/>
          <w:color w:val="auto"/>
          <w:szCs w:val="21"/>
          <w:highlight w:val="none"/>
          <w:u w:val="single"/>
        </w:rPr>
        <w:t xml:space="preserve">                      </w:t>
      </w:r>
      <w:r>
        <w:rPr>
          <w:rFonts w:ascii="Arial" w:hAnsi="Arial" w:cs="Arial"/>
          <w:color w:val="auto"/>
          <w:szCs w:val="21"/>
          <w:highlight w:val="none"/>
        </w:rPr>
        <w:t>；2.纳税人识别号</w:t>
      </w:r>
      <w:r>
        <w:rPr>
          <w:rFonts w:ascii="Arial" w:hAnsi="Arial" w:cs="Arial"/>
          <w:color w:val="auto"/>
          <w:szCs w:val="21"/>
          <w:highlight w:val="none"/>
          <w:u w:val="single"/>
        </w:rPr>
        <w:t xml:space="preserve">                     </w:t>
      </w:r>
      <w:r>
        <w:rPr>
          <w:rFonts w:ascii="Arial" w:hAnsi="Arial" w:cs="Arial"/>
          <w:color w:val="auto"/>
          <w:szCs w:val="21"/>
          <w:highlight w:val="none"/>
        </w:rPr>
        <w:t>；</w:t>
      </w:r>
    </w:p>
    <w:p>
      <w:pPr>
        <w:spacing w:line="360" w:lineRule="exact"/>
        <w:ind w:firstLine="420" w:firstLineChars="200"/>
        <w:rPr>
          <w:rFonts w:ascii="Arial" w:hAnsi="Arial" w:cs="Arial"/>
          <w:color w:val="auto"/>
          <w:szCs w:val="21"/>
          <w:highlight w:val="none"/>
        </w:rPr>
      </w:pPr>
      <w:r>
        <w:rPr>
          <w:rFonts w:ascii="Arial" w:hAnsi="Arial" w:cs="Arial"/>
          <w:color w:val="auto"/>
          <w:szCs w:val="21"/>
          <w:highlight w:val="none"/>
        </w:rPr>
        <w:t>第三种方式：开具增值税专用发票，开票信息如下：1.公司名称</w:t>
      </w:r>
      <w:r>
        <w:rPr>
          <w:rFonts w:ascii="Arial" w:hAnsi="Arial" w:cs="Arial"/>
          <w:color w:val="auto"/>
          <w:szCs w:val="21"/>
          <w:highlight w:val="none"/>
          <w:u w:val="single"/>
        </w:rPr>
        <w:t xml:space="preserve">                      </w:t>
      </w:r>
      <w:r>
        <w:rPr>
          <w:rFonts w:ascii="Arial" w:hAnsi="Arial" w:cs="Arial"/>
          <w:color w:val="auto"/>
          <w:szCs w:val="21"/>
          <w:highlight w:val="none"/>
        </w:rPr>
        <w:t>；2.纳税人识别号</w:t>
      </w:r>
      <w:r>
        <w:rPr>
          <w:rFonts w:ascii="Arial" w:hAnsi="Arial" w:cs="Arial"/>
          <w:color w:val="auto"/>
          <w:szCs w:val="21"/>
          <w:highlight w:val="none"/>
          <w:u w:val="single"/>
        </w:rPr>
        <w:t xml:space="preserve">                     </w:t>
      </w:r>
      <w:r>
        <w:rPr>
          <w:rFonts w:ascii="Arial" w:hAnsi="Arial" w:cs="Arial"/>
          <w:color w:val="auto"/>
          <w:szCs w:val="21"/>
          <w:highlight w:val="none"/>
        </w:rPr>
        <w:t>；3.税局登记地址</w:t>
      </w:r>
      <w:r>
        <w:rPr>
          <w:rFonts w:ascii="Arial" w:hAnsi="Arial" w:cs="Arial"/>
          <w:color w:val="auto"/>
          <w:szCs w:val="21"/>
          <w:highlight w:val="none"/>
          <w:u w:val="single"/>
        </w:rPr>
        <w:t xml:space="preserve">                     </w:t>
      </w:r>
      <w:r>
        <w:rPr>
          <w:rFonts w:ascii="Arial" w:hAnsi="Arial" w:cs="Arial"/>
          <w:color w:val="auto"/>
          <w:szCs w:val="21"/>
          <w:highlight w:val="none"/>
        </w:rPr>
        <w:t>；4.税局登记电话</w:t>
      </w:r>
      <w:r>
        <w:rPr>
          <w:rFonts w:ascii="Arial" w:hAnsi="Arial" w:cs="Arial"/>
          <w:color w:val="auto"/>
          <w:szCs w:val="21"/>
          <w:highlight w:val="none"/>
          <w:u w:val="single"/>
        </w:rPr>
        <w:t xml:space="preserve">             </w:t>
      </w:r>
      <w:r>
        <w:rPr>
          <w:rFonts w:ascii="Arial" w:hAnsi="Arial" w:cs="Arial"/>
          <w:color w:val="auto"/>
          <w:szCs w:val="21"/>
          <w:highlight w:val="none"/>
        </w:rPr>
        <w:t>；5.开户银行</w:t>
      </w:r>
      <w:r>
        <w:rPr>
          <w:rFonts w:ascii="Arial" w:hAnsi="Arial" w:cs="Arial"/>
          <w:color w:val="auto"/>
          <w:szCs w:val="21"/>
          <w:highlight w:val="none"/>
          <w:u w:val="single"/>
        </w:rPr>
        <w:t xml:space="preserve">                 </w:t>
      </w:r>
      <w:r>
        <w:rPr>
          <w:rFonts w:ascii="Arial" w:hAnsi="Arial" w:cs="Arial"/>
          <w:color w:val="auto"/>
          <w:szCs w:val="21"/>
          <w:highlight w:val="none"/>
        </w:rPr>
        <w:t>；6.银行账户</w:t>
      </w:r>
      <w:r>
        <w:rPr>
          <w:rFonts w:ascii="Arial" w:hAnsi="Arial" w:cs="Arial"/>
          <w:color w:val="auto"/>
          <w:szCs w:val="21"/>
          <w:highlight w:val="none"/>
          <w:u w:val="single"/>
        </w:rPr>
        <w:t xml:space="preserve">                         </w:t>
      </w:r>
      <w:r>
        <w:rPr>
          <w:rFonts w:ascii="Arial" w:hAnsi="Arial" w:cs="Arial"/>
          <w:color w:val="auto"/>
          <w:szCs w:val="21"/>
          <w:highlight w:val="none"/>
        </w:rPr>
        <w:t>。</w:t>
      </w:r>
    </w:p>
    <w:p>
      <w:pPr>
        <w:spacing w:before="120" w:beforeLines="50" w:line="360" w:lineRule="auto"/>
        <w:jc w:val="left"/>
        <w:rPr>
          <w:rFonts w:ascii="Arial" w:hAnsi="Arial" w:cs="Arial"/>
          <w:color w:val="auto"/>
          <w:szCs w:val="21"/>
          <w:highlight w:val="none"/>
        </w:rPr>
      </w:pPr>
    </w:p>
    <w:p>
      <w:pPr>
        <w:spacing w:before="120" w:beforeLines="50" w:line="360" w:lineRule="auto"/>
        <w:jc w:val="left"/>
        <w:rPr>
          <w:rFonts w:ascii="Arial" w:hAnsi="Arial" w:cs="Arial"/>
          <w:color w:val="auto"/>
          <w:szCs w:val="21"/>
          <w:highlight w:val="none"/>
          <w:u w:val="single"/>
        </w:rPr>
      </w:pPr>
      <w:r>
        <w:rPr>
          <w:rFonts w:ascii="Arial" w:hAnsi="Arial" w:cs="Arial"/>
          <w:color w:val="auto"/>
          <w:szCs w:val="21"/>
          <w:highlight w:val="none"/>
        </w:rPr>
        <w:t>供应商名称（盖章）：</w:t>
      </w:r>
      <w:r>
        <w:rPr>
          <w:rFonts w:ascii="Arial" w:hAnsi="Arial" w:cs="Arial"/>
          <w:color w:val="auto"/>
          <w:szCs w:val="21"/>
          <w:highlight w:val="none"/>
          <w:u w:val="single"/>
        </w:rPr>
        <w:t xml:space="preserve">                              </w:t>
      </w:r>
    </w:p>
    <w:p>
      <w:pPr>
        <w:spacing w:before="120" w:beforeLines="50" w:line="360" w:lineRule="auto"/>
        <w:jc w:val="left"/>
        <w:rPr>
          <w:rFonts w:ascii="Arial" w:hAnsi="Arial" w:cs="Arial"/>
          <w:color w:val="auto"/>
          <w:szCs w:val="21"/>
          <w:highlight w:val="none"/>
        </w:rPr>
      </w:pPr>
      <w:r>
        <w:rPr>
          <w:rFonts w:ascii="Arial" w:hAnsi="Arial" w:cs="Arial"/>
          <w:color w:val="auto"/>
          <w:szCs w:val="21"/>
          <w:highlight w:val="none"/>
        </w:rPr>
        <w:t>供应商地址：</w:t>
      </w:r>
      <w:r>
        <w:rPr>
          <w:rFonts w:ascii="Arial" w:hAnsi="Arial" w:cs="Arial"/>
          <w:color w:val="auto"/>
          <w:szCs w:val="21"/>
          <w:highlight w:val="none"/>
          <w:u w:val="single"/>
        </w:rPr>
        <w:t xml:space="preserve">                                     </w:t>
      </w:r>
    </w:p>
    <w:p>
      <w:pPr>
        <w:spacing w:before="120" w:beforeLines="50" w:line="360" w:lineRule="auto"/>
        <w:jc w:val="left"/>
        <w:rPr>
          <w:rFonts w:ascii="Arial" w:hAnsi="Arial" w:cs="Arial"/>
          <w:color w:val="auto"/>
          <w:szCs w:val="21"/>
          <w:highlight w:val="none"/>
          <w:u w:val="single"/>
        </w:rPr>
      </w:pPr>
      <w:r>
        <w:rPr>
          <w:rFonts w:ascii="Arial" w:hAnsi="Arial" w:cs="Arial"/>
          <w:color w:val="auto"/>
          <w:szCs w:val="21"/>
          <w:highlight w:val="none"/>
        </w:rPr>
        <w:t>法定代表人或授权代表签名或盖章：</w:t>
      </w:r>
      <w:r>
        <w:rPr>
          <w:rFonts w:ascii="Arial" w:hAnsi="Arial" w:cs="Arial"/>
          <w:color w:val="auto"/>
          <w:szCs w:val="21"/>
          <w:highlight w:val="none"/>
          <w:u w:val="single"/>
        </w:rPr>
        <w:t xml:space="preserve">                          </w:t>
      </w:r>
    </w:p>
    <w:p>
      <w:pPr>
        <w:wordWrap w:val="0"/>
        <w:spacing w:before="120" w:beforeLines="50" w:line="360" w:lineRule="auto"/>
        <w:jc w:val="right"/>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spacing w:before="120" w:beforeLines="50"/>
        <w:rPr>
          <w:rFonts w:ascii="Arial" w:hAnsi="Arial" w:cs="Arial"/>
          <w:color w:val="auto"/>
          <w:szCs w:val="21"/>
          <w:highlight w:val="none"/>
        </w:rPr>
      </w:pPr>
      <w:r>
        <w:rPr>
          <w:rFonts w:ascii="Arial" w:hAnsi="Arial" w:cs="Arial"/>
          <w:color w:val="auto"/>
          <w:szCs w:val="21"/>
          <w:highlight w:val="none"/>
        </w:rPr>
        <w:t>说明：</w:t>
      </w:r>
    </w:p>
    <w:p>
      <w:pP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（1）为保障资金安全，上述账户不能为私人账户。</w:t>
      </w:r>
    </w:p>
    <w:p>
      <w:pP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2）如因未按要求缴纳谈判保证金，导致谈判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pPr>
        <w:spacing w:line="340" w:lineRule="exact"/>
        <w:ind w:firstLine="420" w:firstLineChars="200"/>
        <w:rPr>
          <w:rFonts w:ascii="Arial" w:hAnsi="Arial" w:cs="Arial"/>
          <w:color w:val="auto"/>
          <w:szCs w:val="21"/>
          <w:highlight w:val="none"/>
        </w:rPr>
      </w:pPr>
      <w:r>
        <w:rPr>
          <w:rFonts w:ascii="Arial" w:hAnsi="Arial" w:cs="Arial"/>
          <w:color w:val="auto"/>
          <w:szCs w:val="21"/>
          <w:highlight w:val="none"/>
        </w:rPr>
        <w:t>（3）如供应商未及时收到退回款项，请与广西机电设备招标有限公司财务部联系。广西机电设备招标有限公司财务部联系方式：联系人：吴茜；电话：0771-2821398；传真：0771-2843545。</w:t>
      </w:r>
    </w:p>
    <w:p>
      <w:pPr>
        <w:spacing w:line="340" w:lineRule="exact"/>
        <w:jc w:val="center"/>
        <w:rPr>
          <w:rFonts w:ascii="Arial" w:hAnsi="Arial" w:cs="Arial"/>
          <w:b/>
          <w:color w:val="auto"/>
          <w:sz w:val="24"/>
          <w:highlight w:val="none"/>
        </w:rPr>
      </w:pPr>
      <w:r>
        <w:rPr>
          <w:rFonts w:ascii="Arial" w:hAnsi="Arial" w:cs="Arial"/>
          <w:color w:val="auto"/>
          <w:szCs w:val="21"/>
          <w:highlight w:val="none"/>
        </w:rPr>
        <w:br w:type="page"/>
      </w:r>
      <w:r>
        <w:rPr>
          <w:rFonts w:ascii="Arial" w:hAnsi="Arial" w:cs="Arial"/>
          <w:b/>
          <w:color w:val="auto"/>
          <w:sz w:val="24"/>
          <w:highlight w:val="none"/>
        </w:rPr>
        <w:t>第三部分 报价文件</w:t>
      </w:r>
    </w:p>
    <w:p>
      <w:pPr>
        <w:jc w:val="center"/>
        <w:rPr>
          <w:rFonts w:ascii="Arial" w:hAnsi="Arial" w:cs="Arial"/>
          <w:b/>
          <w:bCs/>
          <w:color w:val="auto"/>
          <w:szCs w:val="21"/>
          <w:highlight w:val="none"/>
        </w:rPr>
      </w:pPr>
    </w:p>
    <w:p>
      <w:pPr>
        <w:rPr>
          <w:rFonts w:ascii="Arial" w:hAnsi="Arial" w:cs="Arial"/>
          <w:b/>
          <w:color w:val="auto"/>
          <w:szCs w:val="21"/>
          <w:highlight w:val="none"/>
        </w:rPr>
      </w:pPr>
      <w:bookmarkStart w:id="55" w:name="_Hlk21624060"/>
      <w:r>
        <w:rPr>
          <w:rFonts w:ascii="Arial" w:hAnsi="Arial" w:cs="Arial"/>
          <w:b/>
          <w:color w:val="auto"/>
          <w:szCs w:val="21"/>
          <w:highlight w:val="none"/>
        </w:rPr>
        <w:t>1．响应函格式</w:t>
      </w:r>
      <w:r>
        <w:rPr>
          <w:rFonts w:ascii="Arial" w:hAnsi="Arial" w:cs="Arial"/>
          <w:b/>
          <w:color w:val="auto"/>
          <w:highlight w:val="none"/>
        </w:rPr>
        <w:t>（</w:t>
      </w:r>
      <w:r>
        <w:rPr>
          <w:rFonts w:ascii="Arial" w:hAnsi="Arial" w:cs="Arial"/>
          <w:b/>
          <w:color w:val="auto"/>
          <w:szCs w:val="21"/>
          <w:highlight w:val="none"/>
        </w:rPr>
        <w:t>必须提供</w:t>
      </w:r>
      <w:r>
        <w:rPr>
          <w:rFonts w:ascii="Arial" w:hAnsi="Arial" w:cs="Arial"/>
          <w:b/>
          <w:color w:val="auto"/>
          <w:highlight w:val="none"/>
        </w:rPr>
        <w:t>）</w:t>
      </w:r>
      <w:r>
        <w:rPr>
          <w:rFonts w:ascii="Arial" w:hAnsi="Arial" w:cs="Arial"/>
          <w:b/>
          <w:color w:val="auto"/>
          <w:szCs w:val="21"/>
          <w:highlight w:val="none"/>
        </w:rPr>
        <w:t>：</w:t>
      </w:r>
    </w:p>
    <w:p>
      <w:pPr>
        <w:rPr>
          <w:rFonts w:ascii="Arial" w:hAnsi="Arial" w:cs="Arial"/>
          <w:b/>
          <w:color w:val="auto"/>
          <w:szCs w:val="21"/>
          <w:highlight w:val="none"/>
        </w:rPr>
      </w:pPr>
    </w:p>
    <w:p>
      <w:pPr>
        <w:jc w:val="center"/>
        <w:rPr>
          <w:rFonts w:ascii="Arial" w:hAnsi="Arial" w:cs="Arial"/>
          <w:b/>
          <w:color w:val="auto"/>
          <w:szCs w:val="21"/>
          <w:highlight w:val="none"/>
        </w:rPr>
      </w:pPr>
      <w:r>
        <w:rPr>
          <w:rFonts w:ascii="Arial" w:hAnsi="Arial" w:cs="Arial"/>
          <w:b/>
          <w:color w:val="auto"/>
          <w:szCs w:val="21"/>
          <w:highlight w:val="none"/>
        </w:rPr>
        <w:t>响 应 函</w:t>
      </w:r>
    </w:p>
    <w:p>
      <w:pPr>
        <w:rPr>
          <w:rFonts w:ascii="Arial" w:hAnsi="Arial" w:cs="Arial"/>
          <w:b/>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致：_</w:t>
      </w:r>
      <w:r>
        <w:rPr>
          <w:rFonts w:ascii="Arial" w:hAnsi="Arial" w:cs="Arial"/>
          <w:i/>
          <w:iCs/>
          <w:color w:val="auto"/>
          <w:szCs w:val="21"/>
          <w:highlight w:val="none"/>
          <w:u w:val="single"/>
        </w:rPr>
        <w:t>（采购人名称）</w:t>
      </w:r>
      <w:r>
        <w:rPr>
          <w:rFonts w:ascii="Arial" w:hAnsi="Arial" w:cs="Arial"/>
          <w:i/>
          <w:iCs/>
          <w:color w:val="auto"/>
          <w:szCs w:val="21"/>
          <w:highlight w:val="none"/>
        </w:rPr>
        <w:t>_</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我方已仔细研究了</w:t>
      </w:r>
      <w:r>
        <w:rPr>
          <w:rFonts w:ascii="Arial" w:hAnsi="Arial" w:cs="Arial"/>
          <w:i/>
          <w:iCs/>
          <w:color w:val="auto"/>
          <w:szCs w:val="21"/>
          <w:highlight w:val="none"/>
          <w:u w:val="single"/>
        </w:rPr>
        <w:t>（项目名称）</w:t>
      </w:r>
      <w:r>
        <w:rPr>
          <w:rFonts w:hint="eastAsia" w:ascii="Arial" w:hAnsi="Arial" w:cs="Arial"/>
          <w:i/>
          <w:iCs/>
          <w:color w:val="auto"/>
          <w:szCs w:val="21"/>
          <w:highlight w:val="none"/>
          <w:u w:val="single"/>
        </w:rPr>
        <w:t xml:space="preserve">  分标  </w:t>
      </w:r>
      <w:r>
        <w:rPr>
          <w:rFonts w:ascii="Arial" w:hAnsi="Arial" w:cs="Arial"/>
          <w:color w:val="auto"/>
          <w:szCs w:val="21"/>
          <w:highlight w:val="none"/>
        </w:rPr>
        <w:t>的谈判文件的全部内容，签字代表</w:t>
      </w:r>
      <w:r>
        <w:rPr>
          <w:rFonts w:ascii="Arial" w:hAnsi="Arial" w:cs="Arial"/>
          <w:i/>
          <w:iCs/>
          <w:color w:val="auto"/>
          <w:szCs w:val="21"/>
          <w:highlight w:val="none"/>
          <w:u w:val="single"/>
        </w:rPr>
        <w:t>（授权代表姓名）</w:t>
      </w:r>
      <w:r>
        <w:rPr>
          <w:rFonts w:ascii="Arial" w:hAnsi="Arial" w:cs="Arial"/>
          <w:color w:val="auto"/>
          <w:szCs w:val="21"/>
          <w:highlight w:val="none"/>
        </w:rPr>
        <w:t>经正式授权并代表供应商</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（供应商名称） </w:t>
      </w:r>
      <w:r>
        <w:rPr>
          <w:rFonts w:ascii="Arial" w:hAnsi="Arial" w:cs="Arial"/>
          <w:color w:val="auto"/>
          <w:szCs w:val="21"/>
          <w:highlight w:val="none"/>
        </w:rPr>
        <w:t>提交响应文件正本一份、副本</w:t>
      </w:r>
      <w:r>
        <w:rPr>
          <w:rFonts w:ascii="Arial" w:hAnsi="Arial" w:cs="Arial"/>
          <w:color w:val="auto"/>
          <w:szCs w:val="21"/>
          <w:highlight w:val="none"/>
          <w:u w:val="single"/>
        </w:rPr>
        <w:t xml:space="preserve">      </w:t>
      </w:r>
      <w:r>
        <w:rPr>
          <w:rFonts w:ascii="Arial" w:hAnsi="Arial" w:cs="Arial"/>
          <w:color w:val="auto"/>
          <w:szCs w:val="21"/>
          <w:highlight w:val="none"/>
        </w:rPr>
        <w:t>份。</w:t>
      </w:r>
    </w:p>
    <w:p>
      <w:pPr>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据此函，签字代表宣布同意如下：</w:t>
      </w:r>
    </w:p>
    <w:p>
      <w:pPr>
        <w:spacing w:line="360" w:lineRule="auto"/>
        <w:rPr>
          <w:rFonts w:ascii="Arial" w:hAnsi="Arial" w:cs="Arial"/>
          <w:color w:val="auto"/>
          <w:szCs w:val="21"/>
          <w:highlight w:val="none"/>
        </w:rPr>
      </w:pPr>
      <w:r>
        <w:rPr>
          <w:rFonts w:ascii="Arial" w:hAnsi="Arial" w:cs="Arial"/>
          <w:color w:val="auto"/>
          <w:szCs w:val="21"/>
          <w:highlight w:val="none"/>
        </w:rPr>
        <w:t>（1）供应商已详细审查全部“谈判文件”，包括修改文件（如有的话）以及全部参考资料和有关附件，已经了解我方对于谈判文件、采购过程、采购结果有依法进行询问、</w:t>
      </w:r>
      <w:r>
        <w:rPr>
          <w:rFonts w:hint="eastAsia" w:ascii="Arial" w:hAnsi="Arial" w:cs="Arial"/>
          <w:color w:val="auto"/>
          <w:szCs w:val="21"/>
          <w:highlight w:val="none"/>
        </w:rPr>
        <w:t>异议</w:t>
      </w:r>
      <w:r>
        <w:rPr>
          <w:rFonts w:ascii="Arial" w:hAnsi="Arial" w:cs="Arial"/>
          <w:color w:val="auto"/>
          <w:szCs w:val="21"/>
          <w:highlight w:val="none"/>
        </w:rPr>
        <w:t>的权利及相关渠道和要求。</w:t>
      </w:r>
    </w:p>
    <w:p>
      <w:pPr>
        <w:spacing w:line="360" w:lineRule="auto"/>
        <w:rPr>
          <w:rFonts w:ascii="Arial" w:hAnsi="Arial" w:cs="Arial"/>
          <w:color w:val="auto"/>
          <w:szCs w:val="21"/>
          <w:highlight w:val="none"/>
        </w:rPr>
      </w:pPr>
      <w:r>
        <w:rPr>
          <w:rFonts w:ascii="Arial" w:hAnsi="Arial" w:cs="Arial"/>
          <w:color w:val="auto"/>
          <w:szCs w:val="21"/>
          <w:highlight w:val="none"/>
        </w:rPr>
        <w:t>（2）供应商在响应之前已经与贵方进行了充分的沟通，完全理解并接受谈判文件的各项规定和要求，对谈判文件的合理性、合法性不再有异议。</w:t>
      </w:r>
    </w:p>
    <w:p>
      <w:pPr>
        <w:spacing w:line="360" w:lineRule="auto"/>
        <w:rPr>
          <w:rFonts w:ascii="Arial" w:hAnsi="Arial" w:cs="Arial"/>
          <w:color w:val="auto"/>
          <w:szCs w:val="21"/>
          <w:highlight w:val="none"/>
        </w:rPr>
      </w:pPr>
      <w:r>
        <w:rPr>
          <w:rFonts w:ascii="Arial" w:hAnsi="Arial" w:cs="Arial"/>
          <w:color w:val="auto"/>
          <w:szCs w:val="21"/>
          <w:highlight w:val="none"/>
        </w:rPr>
        <w:t>（3）响应有效期自响应文件递交截止之日起</w:t>
      </w:r>
      <w:r>
        <w:rPr>
          <w:rFonts w:ascii="Arial" w:hAnsi="Arial" w:cs="Arial"/>
          <w:color w:val="auto"/>
          <w:szCs w:val="21"/>
          <w:highlight w:val="none"/>
          <w:u w:val="single"/>
        </w:rPr>
        <w:t xml:space="preserve"> </w:t>
      </w:r>
      <w:r>
        <w:rPr>
          <w:rFonts w:hint="eastAsia" w:ascii="Arial" w:hAnsi="Arial" w:cs="Arial"/>
          <w:color w:val="auto"/>
          <w:szCs w:val="21"/>
          <w:highlight w:val="none"/>
          <w:u w:val="single"/>
        </w:rPr>
        <w:t>120</w:t>
      </w:r>
      <w:r>
        <w:rPr>
          <w:rFonts w:ascii="Arial" w:hAnsi="Arial" w:cs="Arial"/>
          <w:color w:val="auto"/>
          <w:szCs w:val="21"/>
          <w:highlight w:val="none"/>
          <w:u w:val="single"/>
        </w:rPr>
        <w:t xml:space="preserve"> </w:t>
      </w:r>
      <w:r>
        <w:rPr>
          <w:rFonts w:ascii="Arial" w:hAnsi="Arial" w:cs="Arial"/>
          <w:color w:val="auto"/>
          <w:szCs w:val="21"/>
          <w:highlight w:val="none"/>
        </w:rPr>
        <w:t>天。</w:t>
      </w:r>
    </w:p>
    <w:p>
      <w:pPr>
        <w:spacing w:line="360" w:lineRule="auto"/>
        <w:rPr>
          <w:rFonts w:ascii="Arial" w:hAnsi="Arial" w:cs="Arial"/>
          <w:color w:val="auto"/>
          <w:szCs w:val="21"/>
          <w:highlight w:val="none"/>
        </w:rPr>
      </w:pPr>
      <w:r>
        <w:rPr>
          <w:rFonts w:ascii="Arial" w:hAnsi="Arial" w:cs="Arial"/>
          <w:color w:val="auto"/>
          <w:szCs w:val="21"/>
          <w:highlight w:val="none"/>
        </w:rPr>
        <w:t>（4）如成交，本响应文件至本项目合同履行完毕止均保持有效，本供应商将按“谈判文件”及法律、法规的规定履行合同责任和义务，并承诺不分包及转包他人。</w:t>
      </w:r>
    </w:p>
    <w:p>
      <w:pPr>
        <w:spacing w:line="360" w:lineRule="auto"/>
        <w:rPr>
          <w:rFonts w:ascii="Arial" w:hAnsi="Arial" w:cs="Arial"/>
          <w:color w:val="auto"/>
          <w:szCs w:val="21"/>
          <w:highlight w:val="none"/>
        </w:rPr>
      </w:pPr>
      <w:r>
        <w:rPr>
          <w:rFonts w:ascii="Arial" w:hAnsi="Arial" w:cs="Arial"/>
          <w:color w:val="auto"/>
          <w:szCs w:val="21"/>
          <w:highlight w:val="none"/>
        </w:rPr>
        <w:t>（5）供应商同意按照贵方要求提供与谈判有关的一切数据或资料。</w:t>
      </w:r>
    </w:p>
    <w:p>
      <w:pPr>
        <w:spacing w:line="360" w:lineRule="auto"/>
        <w:rPr>
          <w:rFonts w:ascii="Arial" w:hAnsi="Arial" w:cs="Arial"/>
          <w:color w:val="auto"/>
          <w:szCs w:val="21"/>
          <w:highlight w:val="none"/>
        </w:rPr>
      </w:pPr>
      <w:r>
        <w:rPr>
          <w:rFonts w:ascii="Arial" w:hAnsi="Arial" w:cs="Arial"/>
          <w:color w:val="auto"/>
          <w:szCs w:val="21"/>
          <w:highlight w:val="none"/>
        </w:rPr>
        <w:t>（6）与本项目有关的一切正式往来信函请寄：</w:t>
      </w:r>
    </w:p>
    <w:p>
      <w:pPr>
        <w:spacing w:line="360" w:lineRule="auto"/>
        <w:rPr>
          <w:rFonts w:ascii="Arial" w:hAnsi="Arial" w:cs="Arial"/>
          <w:color w:val="auto"/>
          <w:szCs w:val="21"/>
          <w:highlight w:val="none"/>
        </w:rPr>
      </w:pPr>
      <w:r>
        <w:rPr>
          <w:rFonts w:ascii="Arial" w:hAnsi="Arial" w:cs="Arial"/>
          <w:color w:val="auto"/>
          <w:szCs w:val="21"/>
          <w:highlight w:val="none"/>
        </w:rPr>
        <w:t>地址：</w:t>
      </w:r>
      <w:r>
        <w:rPr>
          <w:rFonts w:ascii="Arial" w:hAnsi="Arial" w:cs="Arial"/>
          <w:color w:val="auto"/>
          <w:szCs w:val="21"/>
          <w:highlight w:val="none"/>
          <w:u w:val="single"/>
        </w:rPr>
        <w:t xml:space="preserve">                      </w:t>
      </w:r>
      <w:r>
        <w:rPr>
          <w:rFonts w:ascii="Arial" w:hAnsi="Arial" w:cs="Arial"/>
          <w:color w:val="auto"/>
          <w:szCs w:val="21"/>
          <w:highlight w:val="none"/>
        </w:rPr>
        <w:t>邮编：</w:t>
      </w:r>
      <w:r>
        <w:rPr>
          <w:rFonts w:ascii="Arial" w:hAnsi="Arial" w:cs="Arial"/>
          <w:color w:val="auto"/>
          <w:szCs w:val="21"/>
          <w:highlight w:val="none"/>
          <w:u w:val="single"/>
        </w:rPr>
        <w:t xml:space="preserve">         </w:t>
      </w:r>
      <w:r>
        <w:rPr>
          <w:rFonts w:ascii="Arial" w:hAnsi="Arial" w:cs="Arial"/>
          <w:color w:val="auto"/>
          <w:szCs w:val="21"/>
          <w:highlight w:val="none"/>
        </w:rPr>
        <w:t xml:space="preserve">  电话：</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传真：</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pPr>
        <w:spacing w:line="360" w:lineRule="auto"/>
        <w:rPr>
          <w:rFonts w:ascii="Arial" w:hAnsi="Arial" w:cs="Arial"/>
          <w:color w:val="auto"/>
          <w:szCs w:val="21"/>
          <w:highlight w:val="none"/>
          <w:u w:val="single"/>
        </w:rPr>
      </w:pPr>
      <w:r>
        <w:rPr>
          <w:rFonts w:ascii="Arial" w:hAnsi="Arial" w:cs="Arial"/>
          <w:color w:val="auto"/>
          <w:szCs w:val="21"/>
          <w:highlight w:val="none"/>
        </w:rPr>
        <w:t>供应商代表姓名</w:t>
      </w:r>
      <w:r>
        <w:rPr>
          <w:rFonts w:ascii="Arial" w:hAnsi="Arial" w:cs="Arial"/>
          <w:color w:val="auto"/>
          <w:szCs w:val="21"/>
          <w:highlight w:val="none"/>
          <w:u w:val="single"/>
        </w:rPr>
        <w:t xml:space="preserve">         </w:t>
      </w:r>
      <w:r>
        <w:rPr>
          <w:rFonts w:ascii="Arial" w:hAnsi="Arial" w:cs="Arial"/>
          <w:color w:val="auto"/>
          <w:szCs w:val="21"/>
          <w:highlight w:val="none"/>
        </w:rPr>
        <w:t xml:space="preserve">  职务：</w:t>
      </w:r>
      <w:r>
        <w:rPr>
          <w:rFonts w:ascii="Arial" w:hAnsi="Arial" w:cs="Arial"/>
          <w:color w:val="auto"/>
          <w:szCs w:val="21"/>
          <w:highlight w:val="none"/>
          <w:u w:val="single"/>
        </w:rPr>
        <w:t xml:space="preserve">             </w:t>
      </w:r>
      <w:r>
        <w:rPr>
          <w:rFonts w:ascii="Arial" w:hAnsi="Arial" w:cs="Arial"/>
          <w:color w:val="auto"/>
          <w:szCs w:val="21"/>
          <w:highlight w:val="none"/>
        </w:rPr>
        <w:t>邮箱：</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u w:val="single"/>
        </w:rPr>
      </w:pPr>
    </w:p>
    <w:p>
      <w:pPr>
        <w:spacing w:line="360" w:lineRule="auto"/>
        <w:rPr>
          <w:rFonts w:ascii="Arial" w:hAnsi="Arial" w:cs="Arial"/>
          <w:color w:val="auto"/>
          <w:szCs w:val="21"/>
          <w:highlight w:val="none"/>
          <w:u w:val="single"/>
        </w:rPr>
      </w:pP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u w:val="single"/>
        </w:rPr>
      </w:pPr>
      <w:r>
        <w:rPr>
          <w:rFonts w:ascii="Arial" w:hAnsi="Arial" w:cs="Arial"/>
          <w:color w:val="auto"/>
          <w:szCs w:val="21"/>
          <w:highlight w:val="none"/>
        </w:rPr>
        <w:t>供应商名称(公章)：</w:t>
      </w:r>
      <w:r>
        <w:rPr>
          <w:rFonts w:ascii="Arial" w:hAnsi="Arial" w:cs="Arial"/>
          <w:color w:val="auto"/>
          <w:szCs w:val="21"/>
          <w:highlight w:val="none"/>
          <w:u w:val="single"/>
        </w:rPr>
        <w:t xml:space="preserve">                  </w:t>
      </w: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法定代表人或授权代表签名或盖章：</w:t>
      </w:r>
      <w:r>
        <w:rPr>
          <w:rFonts w:ascii="Arial" w:hAnsi="Arial" w:cs="Arial"/>
          <w:color w:val="auto"/>
          <w:szCs w:val="21"/>
          <w:highlight w:val="none"/>
          <w:u w:val="single"/>
        </w:rPr>
        <w:t xml:space="preserve">           </w:t>
      </w:r>
      <w:r>
        <w:rPr>
          <w:rFonts w:ascii="Arial" w:hAnsi="Arial" w:cs="Arial"/>
          <w:color w:val="auto"/>
          <w:szCs w:val="21"/>
          <w:highlight w:val="none"/>
        </w:rPr>
        <w:t xml:space="preserve">          </w:t>
      </w:r>
    </w:p>
    <w:p>
      <w:pPr>
        <w:spacing w:line="360" w:lineRule="auto"/>
        <w:rPr>
          <w:rFonts w:ascii="Arial" w:hAnsi="Arial" w:cs="Arial"/>
          <w:color w:val="auto"/>
          <w:szCs w:val="21"/>
          <w:highlight w:val="none"/>
        </w:rPr>
      </w:pPr>
    </w:p>
    <w:p>
      <w:pPr>
        <w:spacing w:line="360" w:lineRule="auto"/>
        <w:rPr>
          <w:rFonts w:ascii="Arial" w:hAnsi="Arial" w:cs="Arial"/>
          <w:color w:val="auto"/>
          <w:szCs w:val="21"/>
          <w:highlight w:val="none"/>
        </w:rPr>
      </w:pPr>
      <w:r>
        <w:rPr>
          <w:rFonts w:ascii="Arial" w:hAnsi="Arial" w:cs="Arial"/>
          <w:color w:val="auto"/>
          <w:szCs w:val="21"/>
          <w:highlight w:val="none"/>
        </w:rPr>
        <w:t>日期：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日</w:t>
      </w:r>
    </w:p>
    <w:p>
      <w:pPr>
        <w:rPr>
          <w:rFonts w:ascii="Arial" w:hAnsi="Arial" w:cs="Arial"/>
          <w:b/>
          <w:color w:val="auto"/>
          <w:szCs w:val="21"/>
          <w:highlight w:val="none"/>
        </w:rPr>
      </w:pPr>
      <w:r>
        <w:rPr>
          <w:rFonts w:ascii="Arial" w:hAnsi="Arial" w:cs="Arial"/>
          <w:b/>
          <w:color w:val="auto"/>
          <w:szCs w:val="21"/>
          <w:highlight w:val="none"/>
        </w:rPr>
        <w:br w:type="page"/>
      </w:r>
      <w:bookmarkEnd w:id="55"/>
      <w:r>
        <w:rPr>
          <w:rFonts w:ascii="Arial" w:hAnsi="Arial" w:cs="Arial"/>
          <w:b/>
          <w:color w:val="auto"/>
          <w:szCs w:val="21"/>
          <w:highlight w:val="none"/>
        </w:rPr>
        <w:t>2．谈判报价明细表格式：</w:t>
      </w:r>
    </w:p>
    <w:p>
      <w:pPr>
        <w:jc w:val="center"/>
        <w:rPr>
          <w:rFonts w:ascii="Arial" w:hAnsi="Arial" w:cs="Arial"/>
          <w:b/>
          <w:color w:val="auto"/>
          <w:szCs w:val="21"/>
          <w:highlight w:val="none"/>
        </w:rPr>
      </w:pPr>
      <w:r>
        <w:rPr>
          <w:rFonts w:ascii="Arial" w:hAnsi="Arial" w:cs="Arial"/>
          <w:b/>
          <w:color w:val="auto"/>
          <w:szCs w:val="21"/>
          <w:highlight w:val="none"/>
        </w:rPr>
        <w:t>谈判报价明细表</w:t>
      </w:r>
    </w:p>
    <w:p>
      <w:pPr>
        <w:ind w:firstLine="2415" w:firstLineChars="1150"/>
        <w:rPr>
          <w:rFonts w:ascii="Arial" w:hAnsi="Arial" w:cs="Arial"/>
          <w:color w:val="auto"/>
          <w:szCs w:val="21"/>
          <w:highlight w:val="none"/>
        </w:rPr>
      </w:pPr>
      <w:r>
        <w:rPr>
          <w:rFonts w:ascii="Arial" w:hAnsi="Arial" w:cs="Arial"/>
          <w:color w:val="auto"/>
          <w:szCs w:val="21"/>
          <w:highlight w:val="none"/>
        </w:rPr>
        <w:t xml:space="preserve">                            金额单位：人民币（元）</w:t>
      </w:r>
    </w:p>
    <w:tbl>
      <w:tblPr>
        <w:tblStyle w:val="4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r>
              <w:rPr>
                <w:rFonts w:ascii="Arial" w:hAnsi="Arial" w:cs="Arial"/>
                <w:color w:val="auto"/>
                <w:szCs w:val="21"/>
                <w:highlight w:val="none"/>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产品或服务名称</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制造商或服务商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规格型号</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单位及数量</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单价</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zCs w:val="21"/>
                <w:highlight w:val="none"/>
              </w:rPr>
            </w:pPr>
            <w:r>
              <w:rPr>
                <w:rFonts w:ascii="Arial" w:hAnsi="Arial" w:cs="Arial"/>
                <w:color w:val="auto"/>
                <w:szCs w:val="21"/>
                <w:highlight w:val="none"/>
              </w:rPr>
              <w:t>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r>
              <w:rPr>
                <w:rFonts w:ascii="Arial" w:hAnsi="Arial" w:cs="Arial"/>
                <w:color w:val="auto"/>
                <w:spacing w:val="20"/>
                <w:szCs w:val="21"/>
                <w:highlight w:val="none"/>
              </w:rPr>
              <w:t>……</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auto"/>
                <w:spacing w:val="2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exact"/>
          <w:jc w:val="center"/>
        </w:trPr>
        <w:tc>
          <w:tcPr>
            <w:tcW w:w="9000" w:type="dxa"/>
            <w:gridSpan w:val="7"/>
            <w:tcBorders>
              <w:top w:val="single" w:color="auto" w:sz="4" w:space="0"/>
              <w:left w:val="single" w:color="auto" w:sz="4" w:space="0"/>
              <w:bottom w:val="single" w:color="auto" w:sz="4" w:space="0"/>
              <w:right w:val="single" w:color="auto" w:sz="4" w:space="0"/>
            </w:tcBorders>
            <w:vAlign w:val="center"/>
          </w:tcPr>
          <w:p>
            <w:pPr>
              <w:jc w:val="left"/>
              <w:rPr>
                <w:rFonts w:ascii="Arial" w:hAnsi="Arial" w:cs="Arial"/>
                <w:color w:val="auto"/>
                <w:spacing w:val="20"/>
                <w:szCs w:val="21"/>
                <w:highlight w:val="none"/>
              </w:rPr>
            </w:pPr>
            <w:r>
              <w:rPr>
                <w:rFonts w:ascii="Arial" w:hAnsi="Arial" w:cs="Arial"/>
                <w:color w:val="auto"/>
                <w:spacing w:val="20"/>
                <w:szCs w:val="21"/>
                <w:highlight w:val="none"/>
              </w:rPr>
              <w:t>响应总价：大写                       小写</w:t>
            </w:r>
          </w:p>
        </w:tc>
      </w:tr>
    </w:tbl>
    <w:p>
      <w:pPr>
        <w:rPr>
          <w:rFonts w:ascii="Arial" w:hAnsi="Arial" w:cs="Arial"/>
          <w:color w:val="auto"/>
          <w:spacing w:val="20"/>
          <w:szCs w:val="21"/>
          <w:highlight w:val="none"/>
          <w:u w:val="single"/>
        </w:rPr>
      </w:pPr>
    </w:p>
    <w:p>
      <w:pPr>
        <w:spacing w:line="360" w:lineRule="auto"/>
        <w:rPr>
          <w:rFonts w:ascii="Arial" w:hAnsi="Arial" w:cs="Arial"/>
          <w:color w:val="auto"/>
          <w:spacing w:val="20"/>
          <w:szCs w:val="21"/>
          <w:highlight w:val="none"/>
        </w:rPr>
      </w:pPr>
    </w:p>
    <w:p>
      <w:pPr>
        <w:jc w:val="left"/>
        <w:rPr>
          <w:rFonts w:ascii="Arial" w:hAnsi="Arial" w:cs="Arial"/>
          <w:color w:val="auto"/>
          <w:szCs w:val="21"/>
          <w:highlight w:val="none"/>
        </w:rPr>
      </w:pPr>
      <w:r>
        <w:rPr>
          <w:rFonts w:ascii="Arial" w:hAnsi="Arial" w:cs="Arial"/>
          <w:color w:val="auto"/>
          <w:szCs w:val="21"/>
          <w:highlight w:val="none"/>
        </w:rPr>
        <w:t>注：本表可扩展，并逐页签字及盖章</w:t>
      </w:r>
    </w:p>
    <w:p>
      <w:pPr>
        <w:spacing w:line="360" w:lineRule="auto"/>
        <w:rPr>
          <w:rFonts w:ascii="Arial" w:hAnsi="Arial" w:cs="Arial"/>
          <w:color w:val="auto"/>
          <w:spacing w:val="20"/>
          <w:szCs w:val="21"/>
          <w:highlight w:val="none"/>
        </w:rPr>
      </w:pPr>
    </w:p>
    <w:p>
      <w:pPr>
        <w:spacing w:line="360" w:lineRule="auto"/>
        <w:rPr>
          <w:rFonts w:ascii="Arial" w:hAnsi="Arial" w:cs="Arial"/>
          <w:color w:val="auto"/>
          <w:spacing w:val="20"/>
          <w:szCs w:val="21"/>
          <w:highlight w:val="none"/>
          <w:u w:val="single"/>
        </w:rPr>
      </w:pPr>
      <w:r>
        <w:rPr>
          <w:rFonts w:ascii="Arial" w:hAnsi="Arial" w:cs="Arial"/>
          <w:color w:val="auto"/>
          <w:szCs w:val="21"/>
          <w:highlight w:val="none"/>
        </w:rPr>
        <w:t>法定代表人或授权代表（签名或盖章）</w:t>
      </w:r>
      <w:r>
        <w:rPr>
          <w:rFonts w:ascii="Arial" w:hAnsi="Arial" w:cs="Arial"/>
          <w:color w:val="auto"/>
          <w:spacing w:val="20"/>
          <w:szCs w:val="21"/>
          <w:highlight w:val="none"/>
        </w:rPr>
        <w:t>：</w:t>
      </w:r>
      <w:r>
        <w:rPr>
          <w:rFonts w:ascii="Arial" w:hAnsi="Arial" w:cs="Arial"/>
          <w:color w:val="auto"/>
          <w:spacing w:val="20"/>
          <w:szCs w:val="21"/>
          <w:highlight w:val="none"/>
          <w:u w:val="single"/>
        </w:rPr>
        <w:t xml:space="preserve">                     </w:t>
      </w:r>
    </w:p>
    <w:p>
      <w:pPr>
        <w:spacing w:line="360" w:lineRule="auto"/>
        <w:rPr>
          <w:rFonts w:ascii="Arial" w:hAnsi="Arial" w:cs="Arial"/>
          <w:color w:val="auto"/>
          <w:szCs w:val="21"/>
          <w:highlight w:val="none"/>
        </w:rPr>
      </w:pPr>
      <w:r>
        <w:rPr>
          <w:rFonts w:ascii="Arial" w:hAnsi="Arial" w:cs="Arial"/>
          <w:color w:val="auto"/>
          <w:szCs w:val="21"/>
          <w:highlight w:val="none"/>
        </w:rPr>
        <w:t>供应商名称（公章）：</w:t>
      </w:r>
      <w:r>
        <w:rPr>
          <w:rFonts w:ascii="Arial" w:hAnsi="Arial" w:cs="Arial"/>
          <w:color w:val="auto"/>
          <w:szCs w:val="21"/>
          <w:highlight w:val="none"/>
          <w:u w:val="single"/>
        </w:rPr>
        <w:t xml:space="preserve">                          </w:t>
      </w:r>
    </w:p>
    <w:p>
      <w:pPr>
        <w:spacing w:line="360" w:lineRule="auto"/>
        <w:rPr>
          <w:rFonts w:ascii="Arial" w:hAnsi="Arial" w:cs="Arial"/>
          <w:color w:val="auto"/>
          <w:spacing w:val="20"/>
          <w:szCs w:val="21"/>
          <w:highlight w:val="none"/>
          <w:u w:val="single"/>
        </w:rPr>
      </w:pPr>
      <w:r>
        <w:rPr>
          <w:rFonts w:ascii="Arial" w:hAnsi="Arial" w:cs="Arial"/>
          <w:color w:val="auto"/>
          <w:szCs w:val="21"/>
          <w:highlight w:val="none"/>
        </w:rPr>
        <w:t>日  期：：</w:t>
      </w:r>
      <w:r>
        <w:rPr>
          <w:rFonts w:ascii="Arial" w:hAnsi="Arial" w:cs="Arial"/>
          <w:color w:val="auto"/>
          <w:szCs w:val="21"/>
          <w:highlight w:val="none"/>
          <w:u w:val="single"/>
        </w:rPr>
        <w:t xml:space="preserve">         </w:t>
      </w:r>
      <w:r>
        <w:rPr>
          <w:rFonts w:ascii="Arial" w:hAnsi="Arial" w:cs="Arial"/>
          <w:color w:val="auto"/>
          <w:szCs w:val="21"/>
          <w:highlight w:val="none"/>
        </w:rPr>
        <w:t>年</w:t>
      </w:r>
      <w:r>
        <w:rPr>
          <w:rFonts w:ascii="Arial" w:hAnsi="Arial" w:cs="Arial"/>
          <w:color w:val="auto"/>
          <w:szCs w:val="21"/>
          <w:highlight w:val="none"/>
          <w:u w:val="single"/>
        </w:rPr>
        <w:t xml:space="preserve">   </w:t>
      </w:r>
      <w:r>
        <w:rPr>
          <w:rFonts w:ascii="Arial" w:hAnsi="Arial" w:cs="Arial"/>
          <w:color w:val="auto"/>
          <w:szCs w:val="21"/>
          <w:highlight w:val="none"/>
        </w:rPr>
        <w:t>月</w:t>
      </w:r>
      <w:r>
        <w:rPr>
          <w:rFonts w:ascii="Arial" w:hAnsi="Arial" w:cs="Arial"/>
          <w:color w:val="auto"/>
          <w:szCs w:val="21"/>
          <w:highlight w:val="none"/>
          <w:u w:val="single"/>
        </w:rPr>
        <w:t xml:space="preserve">   </w:t>
      </w:r>
      <w:r>
        <w:rPr>
          <w:rFonts w:ascii="Arial" w:hAnsi="Arial" w:cs="Arial"/>
          <w:color w:val="auto"/>
          <w:szCs w:val="21"/>
          <w:highlight w:val="none"/>
        </w:rPr>
        <w:t xml:space="preserve">日 </w:t>
      </w:r>
    </w:p>
    <w:p>
      <w:pPr>
        <w:snapToGrid w:val="0"/>
        <w:spacing w:before="50" w:after="120" w:afterLines="50"/>
        <w:jc w:val="left"/>
        <w:rPr>
          <w:rFonts w:ascii="Arial" w:hAnsi="Arial" w:cs="Arial"/>
          <w:color w:val="auto"/>
          <w:szCs w:val="21"/>
          <w:highlight w:val="none"/>
        </w:rPr>
      </w:pPr>
    </w:p>
    <w:p>
      <w:pPr>
        <w:snapToGrid w:val="0"/>
        <w:spacing w:before="50" w:after="120" w:afterLines="50"/>
        <w:jc w:val="left"/>
        <w:rPr>
          <w:rFonts w:ascii="Arial" w:hAnsi="Arial" w:cs="Arial"/>
          <w:b/>
          <w:color w:val="auto"/>
          <w:sz w:val="24"/>
          <w:highlight w:val="none"/>
        </w:rPr>
      </w:pPr>
      <w:r>
        <w:rPr>
          <w:rFonts w:ascii="Arial" w:hAnsi="Arial" w:cs="Arial"/>
          <w:color w:val="auto"/>
          <w:szCs w:val="21"/>
          <w:highlight w:val="none"/>
        </w:rPr>
        <w:br w:type="page"/>
      </w:r>
    </w:p>
    <w:p>
      <w:pPr>
        <w:snapToGrid w:val="0"/>
        <w:spacing w:before="120" w:beforeLines="50" w:after="50" w:line="440" w:lineRule="exact"/>
        <w:jc w:val="left"/>
        <w:rPr>
          <w:b/>
          <w:color w:val="auto"/>
          <w:sz w:val="24"/>
          <w:highlight w:val="none"/>
        </w:rPr>
      </w:pPr>
      <w:r>
        <w:rPr>
          <w:rFonts w:hint="eastAsia"/>
          <w:b/>
          <w:color w:val="auto"/>
          <w:sz w:val="24"/>
          <w:highlight w:val="none"/>
        </w:rPr>
        <w:t>（1）</w:t>
      </w:r>
      <w:bookmarkStart w:id="56" w:name="_Hlk34661265"/>
      <w:r>
        <w:rPr>
          <w:rFonts w:hint="eastAsia"/>
          <w:b/>
          <w:color w:val="auto"/>
          <w:sz w:val="24"/>
          <w:highlight w:val="none"/>
        </w:rPr>
        <w:t>电子响应文件</w:t>
      </w:r>
      <w:r>
        <w:rPr>
          <w:b/>
          <w:color w:val="auto"/>
          <w:sz w:val="24"/>
          <w:highlight w:val="none"/>
        </w:rPr>
        <w:t>信封封面参考格式（可以手写，密封）</w:t>
      </w:r>
      <w:r>
        <w:rPr>
          <w:rFonts w:hint="eastAsia"/>
          <w:b/>
          <w:color w:val="auto"/>
          <w:sz w:val="24"/>
          <w:highlight w:val="none"/>
        </w:rPr>
        <w:t>（如提供）</w:t>
      </w:r>
      <w:r>
        <w:rPr>
          <w:b/>
          <w:color w:val="auto"/>
          <w:sz w:val="24"/>
          <w:highlight w:val="none"/>
        </w:rPr>
        <w:t>： </w:t>
      </w:r>
    </w:p>
    <w:p>
      <w:pPr>
        <w:snapToGrid w:val="0"/>
        <w:spacing w:before="120" w:beforeLines="50" w:after="50" w:line="440" w:lineRule="exact"/>
        <w:jc w:val="left"/>
        <w:rPr>
          <w:b/>
          <w:color w:val="auto"/>
          <w:sz w:val="24"/>
          <w:highlight w:val="none"/>
        </w:rPr>
      </w:pPr>
    </w:p>
    <w:p>
      <w:pPr>
        <w:snapToGrid w:val="0"/>
        <w:spacing w:before="120" w:beforeLines="50" w:after="50" w:line="440" w:lineRule="exact"/>
        <w:jc w:val="center"/>
        <w:rPr>
          <w:b/>
          <w:bCs/>
          <w:color w:val="auto"/>
          <w:sz w:val="44"/>
          <w:szCs w:val="44"/>
          <w:highlight w:val="none"/>
        </w:rPr>
      </w:pPr>
      <w:r>
        <w:rPr>
          <w:rFonts w:hint="eastAsia"/>
          <w:b/>
          <w:bCs/>
          <w:color w:val="auto"/>
          <w:sz w:val="44"/>
          <w:szCs w:val="44"/>
          <w:highlight w:val="none"/>
        </w:rPr>
        <w:t>响 应</w:t>
      </w:r>
      <w:r>
        <w:rPr>
          <w:b/>
          <w:bCs/>
          <w:color w:val="auto"/>
          <w:sz w:val="44"/>
          <w:szCs w:val="44"/>
          <w:highlight w:val="none"/>
        </w:rPr>
        <w:t xml:space="preserve"> 文 件</w:t>
      </w:r>
      <w:r>
        <w:rPr>
          <w:rFonts w:hint="eastAsia"/>
          <w:b/>
          <w:bCs/>
          <w:color w:val="auto"/>
          <w:sz w:val="44"/>
          <w:szCs w:val="44"/>
          <w:highlight w:val="none"/>
        </w:rPr>
        <w:t xml:space="preserve"> </w:t>
      </w:r>
    </w:p>
    <w:p>
      <w:pPr>
        <w:snapToGrid w:val="0"/>
        <w:spacing w:before="120" w:beforeLines="50" w:after="50" w:line="440" w:lineRule="exact"/>
        <w:jc w:val="center"/>
        <w:rPr>
          <w:b/>
          <w:bCs/>
          <w:color w:val="auto"/>
          <w:sz w:val="44"/>
          <w:szCs w:val="44"/>
          <w:highlight w:val="none"/>
        </w:rPr>
      </w:pPr>
      <w:r>
        <w:rPr>
          <w:rFonts w:hint="eastAsia"/>
          <w:b/>
          <w:bCs/>
          <w:color w:val="auto"/>
          <w:sz w:val="44"/>
          <w:szCs w:val="44"/>
          <w:highlight w:val="none"/>
        </w:rPr>
        <w:t xml:space="preserve"> </w:t>
      </w:r>
    </w:p>
    <w:p>
      <w:pPr>
        <w:snapToGrid w:val="0"/>
        <w:spacing w:before="120" w:beforeLines="50" w:after="50" w:line="440" w:lineRule="exact"/>
        <w:rPr>
          <w:bCs/>
          <w:color w:val="auto"/>
          <w:sz w:val="24"/>
          <w:highlight w:val="none"/>
        </w:rPr>
      </w:pPr>
    </w:p>
    <w:p>
      <w:pPr>
        <w:snapToGrid w:val="0"/>
        <w:spacing w:before="120" w:beforeLines="50" w:after="50" w:line="440" w:lineRule="exact"/>
        <w:ind w:firstLine="720" w:firstLineChars="300"/>
        <w:rPr>
          <w:bCs/>
          <w:color w:val="auto"/>
          <w:sz w:val="24"/>
          <w:highlight w:val="none"/>
        </w:rPr>
      </w:pPr>
      <w:r>
        <w:rPr>
          <w:bCs/>
          <w:color w:val="auto"/>
          <w:sz w:val="24"/>
          <w:highlight w:val="none"/>
        </w:rPr>
        <w:t xml:space="preserve">项目名称： </w:t>
      </w:r>
    </w:p>
    <w:p>
      <w:pPr>
        <w:snapToGrid w:val="0"/>
        <w:spacing w:before="120" w:beforeLines="50" w:after="50" w:line="440" w:lineRule="exact"/>
        <w:ind w:firstLine="720" w:firstLineChars="300"/>
        <w:rPr>
          <w:bCs/>
          <w:color w:val="auto"/>
          <w:sz w:val="24"/>
          <w:highlight w:val="none"/>
        </w:rPr>
      </w:pPr>
      <w:r>
        <w:rPr>
          <w:bCs/>
          <w:color w:val="auto"/>
          <w:sz w:val="24"/>
          <w:highlight w:val="none"/>
        </w:rPr>
        <w:t xml:space="preserve">项目编号： </w:t>
      </w:r>
    </w:p>
    <w:p>
      <w:pPr>
        <w:snapToGrid w:val="0"/>
        <w:spacing w:before="120" w:beforeLines="50" w:after="50" w:line="440" w:lineRule="exact"/>
        <w:ind w:firstLine="720" w:firstLineChars="300"/>
        <w:rPr>
          <w:bCs/>
          <w:color w:val="auto"/>
          <w:sz w:val="24"/>
          <w:highlight w:val="none"/>
        </w:rPr>
      </w:pPr>
      <w:r>
        <w:rPr>
          <w:bCs/>
          <w:color w:val="auto"/>
          <w:sz w:val="24"/>
          <w:highlight w:val="none"/>
        </w:rPr>
        <w:t>分标号：</w:t>
      </w:r>
      <w:r>
        <w:rPr>
          <w:rFonts w:hint="eastAsia"/>
          <w:bCs/>
          <w:color w:val="auto"/>
          <w:sz w:val="24"/>
          <w:highlight w:val="none"/>
        </w:rPr>
        <w:t>（如有则填写，无分标时填写“无”或者留空）</w:t>
      </w: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响应文件名称：</w:t>
      </w:r>
      <w:r>
        <w:rPr>
          <w:rFonts w:hint="eastAsia"/>
          <w:bCs/>
          <w:color w:val="auto"/>
          <w:sz w:val="24"/>
          <w:szCs w:val="24"/>
          <w:highlight w:val="none"/>
        </w:rPr>
        <w:t>不加密格式电子响应文件</w:t>
      </w: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供应商名称：</w:t>
      </w: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供应商地址：</w:t>
      </w:r>
    </w:p>
    <w:p>
      <w:pPr>
        <w:pStyle w:val="7"/>
        <w:snapToGrid w:val="0"/>
        <w:spacing w:before="50" w:after="50" w:line="440" w:lineRule="exact"/>
        <w:ind w:firstLine="720" w:firstLineChars="300"/>
        <w:rPr>
          <w:bCs/>
          <w:color w:val="auto"/>
          <w:sz w:val="24"/>
          <w:szCs w:val="24"/>
          <w:highlight w:val="none"/>
        </w:rPr>
      </w:pP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在  年  月  日  时  分之前不得启封</w:t>
      </w:r>
    </w:p>
    <w:p>
      <w:pPr>
        <w:snapToGrid w:val="0"/>
        <w:spacing w:before="120" w:beforeLines="50" w:after="50" w:line="440" w:lineRule="exact"/>
        <w:ind w:firstLine="4080" w:firstLineChars="1700"/>
        <w:rPr>
          <w:bCs/>
          <w:color w:val="auto"/>
          <w:sz w:val="24"/>
          <w:highlight w:val="none"/>
        </w:rPr>
      </w:pPr>
    </w:p>
    <w:p>
      <w:pPr>
        <w:snapToGrid w:val="0"/>
        <w:spacing w:before="120" w:beforeLines="50" w:after="50" w:line="440" w:lineRule="exact"/>
        <w:ind w:firstLine="645"/>
        <w:jc w:val="center"/>
        <w:rPr>
          <w:bCs/>
          <w:color w:val="auto"/>
          <w:sz w:val="24"/>
          <w:highlight w:val="none"/>
        </w:rPr>
      </w:pPr>
      <w:r>
        <w:rPr>
          <w:bCs/>
          <w:color w:val="auto"/>
          <w:sz w:val="24"/>
          <w:highlight w:val="none"/>
        </w:rPr>
        <w:t xml:space="preserve">                        年  月  日</w:t>
      </w:r>
    </w:p>
    <w:bookmarkEnd w:id="56"/>
    <w:p>
      <w:pPr>
        <w:snapToGrid w:val="0"/>
        <w:spacing w:before="120" w:beforeLines="50" w:after="50" w:line="440" w:lineRule="exact"/>
        <w:jc w:val="left"/>
        <w:outlineLvl w:val="1"/>
        <w:rPr>
          <w:b/>
          <w:color w:val="auto"/>
          <w:sz w:val="24"/>
          <w:highlight w:val="none"/>
        </w:rPr>
      </w:pPr>
      <w:r>
        <w:rPr>
          <w:color w:val="auto"/>
          <w:szCs w:val="21"/>
          <w:highlight w:val="none"/>
        </w:rPr>
        <w:br w:type="page"/>
      </w:r>
      <w:bookmarkStart w:id="57" w:name="_Hlk21624134"/>
      <w:bookmarkStart w:id="58" w:name="_Hlk34661287"/>
      <w:r>
        <w:rPr>
          <w:bCs/>
          <w:color w:val="auto"/>
          <w:sz w:val="24"/>
          <w:highlight w:val="none"/>
        </w:rPr>
        <w:t xml:space="preserve">          </w:t>
      </w:r>
      <w:bookmarkEnd w:id="57"/>
      <w:bookmarkEnd w:id="58"/>
      <w:r>
        <w:rPr>
          <w:rFonts w:hint="eastAsia"/>
          <w:b/>
          <w:color w:val="auto"/>
          <w:sz w:val="24"/>
          <w:highlight w:val="none"/>
        </w:rPr>
        <w:t>（2）纸质响应文件电子版</w:t>
      </w:r>
      <w:r>
        <w:rPr>
          <w:b/>
          <w:color w:val="auto"/>
          <w:sz w:val="24"/>
          <w:highlight w:val="none"/>
        </w:rPr>
        <w:t>信封封面参考格式</w:t>
      </w:r>
      <w:r>
        <w:rPr>
          <w:b/>
          <w:color w:val="auto"/>
          <w:szCs w:val="21"/>
          <w:highlight w:val="none"/>
        </w:rPr>
        <w:t>（可以手写，密封）</w:t>
      </w:r>
      <w:r>
        <w:rPr>
          <w:b/>
          <w:color w:val="auto"/>
          <w:sz w:val="24"/>
          <w:highlight w:val="none"/>
        </w:rPr>
        <w:t>：</w:t>
      </w:r>
    </w:p>
    <w:p>
      <w:pPr>
        <w:snapToGrid w:val="0"/>
        <w:spacing w:before="120" w:beforeLines="50" w:after="50" w:line="440" w:lineRule="exact"/>
        <w:jc w:val="center"/>
        <w:rPr>
          <w:bCs/>
          <w:color w:val="auto"/>
          <w:sz w:val="24"/>
          <w:highlight w:val="none"/>
        </w:rPr>
      </w:pPr>
    </w:p>
    <w:p>
      <w:pPr>
        <w:snapToGrid w:val="0"/>
        <w:spacing w:before="120" w:beforeLines="50" w:after="50" w:line="440" w:lineRule="exact"/>
        <w:jc w:val="center"/>
        <w:rPr>
          <w:bCs/>
          <w:color w:val="auto"/>
          <w:sz w:val="24"/>
          <w:highlight w:val="none"/>
        </w:rPr>
      </w:pPr>
    </w:p>
    <w:p>
      <w:pPr>
        <w:snapToGrid w:val="0"/>
        <w:spacing w:before="120" w:beforeLines="50" w:after="50" w:line="440" w:lineRule="exact"/>
        <w:jc w:val="center"/>
        <w:rPr>
          <w:bCs/>
          <w:color w:val="auto"/>
          <w:sz w:val="24"/>
          <w:highlight w:val="none"/>
        </w:rPr>
      </w:pPr>
    </w:p>
    <w:p>
      <w:pPr>
        <w:snapToGrid w:val="0"/>
        <w:spacing w:before="120" w:beforeLines="50" w:after="50" w:line="440" w:lineRule="exact"/>
        <w:jc w:val="center"/>
        <w:rPr>
          <w:b/>
          <w:bCs/>
          <w:color w:val="auto"/>
          <w:sz w:val="44"/>
          <w:szCs w:val="44"/>
          <w:highlight w:val="none"/>
        </w:rPr>
      </w:pPr>
      <w:r>
        <w:rPr>
          <w:b/>
          <w:bCs/>
          <w:color w:val="auto"/>
          <w:sz w:val="44"/>
          <w:szCs w:val="44"/>
          <w:highlight w:val="none"/>
        </w:rPr>
        <w:t>响应文件</w:t>
      </w:r>
    </w:p>
    <w:p>
      <w:pPr>
        <w:snapToGrid w:val="0"/>
        <w:spacing w:before="120" w:beforeLines="50" w:after="50" w:line="440" w:lineRule="exact"/>
        <w:rPr>
          <w:bCs/>
          <w:color w:val="auto"/>
          <w:sz w:val="24"/>
          <w:highlight w:val="none"/>
        </w:rPr>
      </w:pPr>
    </w:p>
    <w:p>
      <w:pPr>
        <w:snapToGrid w:val="0"/>
        <w:spacing w:before="120" w:beforeLines="50" w:after="50" w:line="440" w:lineRule="exact"/>
        <w:ind w:firstLine="720" w:firstLineChars="300"/>
        <w:rPr>
          <w:bCs/>
          <w:color w:val="auto"/>
          <w:sz w:val="24"/>
          <w:highlight w:val="none"/>
        </w:rPr>
      </w:pPr>
      <w:r>
        <w:rPr>
          <w:bCs/>
          <w:color w:val="auto"/>
          <w:sz w:val="24"/>
          <w:highlight w:val="none"/>
        </w:rPr>
        <w:t xml:space="preserve">项目名称： </w:t>
      </w:r>
    </w:p>
    <w:p>
      <w:pPr>
        <w:snapToGrid w:val="0"/>
        <w:spacing w:before="120" w:beforeLines="50" w:after="50" w:line="440" w:lineRule="exact"/>
        <w:ind w:firstLine="720" w:firstLineChars="300"/>
        <w:rPr>
          <w:bCs/>
          <w:color w:val="auto"/>
          <w:sz w:val="24"/>
          <w:highlight w:val="none"/>
        </w:rPr>
      </w:pPr>
      <w:r>
        <w:rPr>
          <w:bCs/>
          <w:color w:val="auto"/>
          <w:sz w:val="24"/>
          <w:highlight w:val="none"/>
        </w:rPr>
        <w:t xml:space="preserve">项目编号： </w:t>
      </w:r>
    </w:p>
    <w:p>
      <w:pPr>
        <w:snapToGrid w:val="0"/>
        <w:spacing w:before="120" w:beforeLines="50" w:after="50" w:line="440" w:lineRule="exact"/>
        <w:ind w:firstLine="720" w:firstLineChars="300"/>
        <w:rPr>
          <w:bCs/>
          <w:color w:val="auto"/>
          <w:sz w:val="24"/>
          <w:highlight w:val="none"/>
        </w:rPr>
      </w:pPr>
      <w:r>
        <w:rPr>
          <w:bCs/>
          <w:color w:val="auto"/>
          <w:sz w:val="24"/>
          <w:highlight w:val="none"/>
        </w:rPr>
        <w:t>分标号：</w:t>
      </w:r>
      <w:r>
        <w:rPr>
          <w:rFonts w:hint="eastAsia"/>
          <w:bCs/>
          <w:color w:val="auto"/>
          <w:sz w:val="24"/>
          <w:highlight w:val="none"/>
        </w:rPr>
        <w:t>（如有则填写，无分标时填写“无”或者留空）</w:t>
      </w: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响应文件名称：</w:t>
      </w:r>
      <w:r>
        <w:rPr>
          <w:rFonts w:hint="eastAsia"/>
          <w:bCs/>
          <w:color w:val="auto"/>
          <w:sz w:val="24"/>
          <w:highlight w:val="none"/>
        </w:rPr>
        <w:t>纸质响应文件电子版</w:t>
      </w: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供应商名称：</w:t>
      </w: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供应商地址：</w:t>
      </w:r>
    </w:p>
    <w:p>
      <w:pPr>
        <w:pStyle w:val="7"/>
        <w:snapToGrid w:val="0"/>
        <w:spacing w:before="50" w:after="50" w:line="440" w:lineRule="exact"/>
        <w:ind w:firstLine="720" w:firstLineChars="300"/>
        <w:rPr>
          <w:bCs/>
          <w:color w:val="auto"/>
          <w:sz w:val="24"/>
          <w:szCs w:val="24"/>
          <w:highlight w:val="none"/>
        </w:rPr>
      </w:pPr>
      <w:r>
        <w:rPr>
          <w:bCs/>
          <w:color w:val="auto"/>
          <w:sz w:val="24"/>
          <w:szCs w:val="24"/>
          <w:highlight w:val="none"/>
        </w:rPr>
        <w:t>在  年  月  日  时  分之前不得启封</w:t>
      </w:r>
    </w:p>
    <w:p>
      <w:pPr>
        <w:snapToGrid w:val="0"/>
        <w:spacing w:before="120" w:beforeLines="50" w:after="50" w:line="440" w:lineRule="exact"/>
        <w:ind w:firstLine="4080" w:firstLineChars="1700"/>
        <w:rPr>
          <w:bCs/>
          <w:color w:val="auto"/>
          <w:sz w:val="24"/>
          <w:highlight w:val="none"/>
        </w:rPr>
      </w:pPr>
    </w:p>
    <w:p>
      <w:pPr>
        <w:snapToGrid w:val="0"/>
        <w:spacing w:before="120" w:beforeLines="50" w:after="50" w:line="440" w:lineRule="exact"/>
        <w:ind w:firstLine="645"/>
        <w:jc w:val="center"/>
        <w:rPr>
          <w:bCs/>
          <w:color w:val="auto"/>
          <w:sz w:val="24"/>
          <w:highlight w:val="none"/>
        </w:rPr>
      </w:pPr>
      <w:r>
        <w:rPr>
          <w:bCs/>
          <w:color w:val="auto"/>
          <w:sz w:val="24"/>
          <w:highlight w:val="none"/>
        </w:rPr>
        <w:t xml:space="preserve">                        年  月  日</w:t>
      </w:r>
    </w:p>
    <w:p>
      <w:pPr>
        <w:snapToGrid w:val="0"/>
        <w:spacing w:before="120" w:beforeLines="50" w:after="50" w:line="440" w:lineRule="exact"/>
        <w:jc w:val="left"/>
        <w:outlineLvl w:val="1"/>
        <w:rPr>
          <w:bCs/>
          <w:color w:val="auto"/>
          <w:sz w:val="24"/>
          <w:highlight w:val="none"/>
        </w:rPr>
      </w:pPr>
      <w:r>
        <w:rPr>
          <w:color w:val="auto"/>
          <w:szCs w:val="21"/>
          <w:highlight w:val="none"/>
        </w:rPr>
        <w:br w:type="page"/>
      </w:r>
      <w:bookmarkStart w:id="59" w:name="_Hlk21624143"/>
      <w:r>
        <w:rPr>
          <w:rFonts w:hint="eastAsia"/>
          <w:b/>
          <w:color w:val="auto"/>
          <w:szCs w:val="21"/>
          <w:highlight w:val="none"/>
        </w:rPr>
        <w:t>（3）声明函（必须提供）：</w:t>
      </w:r>
    </w:p>
    <w:p>
      <w:pPr>
        <w:rPr>
          <w:color w:val="auto"/>
          <w:highlight w:val="none"/>
        </w:rPr>
      </w:pPr>
    </w:p>
    <w:p>
      <w:pPr>
        <w:snapToGrid w:val="0"/>
        <w:spacing w:before="120" w:beforeLines="50" w:after="50" w:line="440" w:lineRule="exact"/>
        <w:jc w:val="center"/>
        <w:outlineLvl w:val="1"/>
        <w:rPr>
          <w:b/>
          <w:color w:val="auto"/>
          <w:sz w:val="36"/>
          <w:szCs w:val="36"/>
          <w:highlight w:val="none"/>
        </w:rPr>
      </w:pPr>
      <w:r>
        <w:rPr>
          <w:rFonts w:hint="eastAsia"/>
          <w:b/>
          <w:color w:val="auto"/>
          <w:sz w:val="36"/>
          <w:szCs w:val="36"/>
          <w:highlight w:val="none"/>
        </w:rPr>
        <w:t>声明函</w:t>
      </w:r>
    </w:p>
    <w:p>
      <w:pPr>
        <w:rPr>
          <w:color w:val="auto"/>
          <w:highlight w:val="none"/>
        </w:rPr>
      </w:pPr>
    </w:p>
    <w:p>
      <w:pPr>
        <w:snapToGrid w:val="0"/>
        <w:spacing w:before="120" w:beforeLines="50" w:after="50" w:line="440" w:lineRule="exact"/>
        <w:outlineLvl w:val="1"/>
        <w:rPr>
          <w:bCs/>
          <w:color w:val="auto"/>
          <w:sz w:val="22"/>
          <w:szCs w:val="22"/>
          <w:highlight w:val="none"/>
        </w:rPr>
      </w:pPr>
      <w:r>
        <w:rPr>
          <w:rFonts w:hint="eastAsia"/>
          <w:bCs/>
          <w:color w:val="auto"/>
          <w:sz w:val="22"/>
          <w:szCs w:val="22"/>
          <w:highlight w:val="none"/>
          <w:u w:val="single"/>
        </w:rPr>
        <w:t>广西机电设备招标有限公司</w:t>
      </w:r>
      <w:r>
        <w:rPr>
          <w:bCs/>
          <w:color w:val="auto"/>
          <w:sz w:val="22"/>
          <w:szCs w:val="22"/>
          <w:highlight w:val="none"/>
          <w:u w:val="single"/>
        </w:rPr>
        <w:t xml:space="preserve"> </w:t>
      </w:r>
      <w:r>
        <w:rPr>
          <w:color w:val="auto"/>
          <w:szCs w:val="21"/>
          <w:highlight w:val="none"/>
        </w:rPr>
        <w:t>：</w:t>
      </w:r>
    </w:p>
    <w:p>
      <w:pPr>
        <w:snapToGrid w:val="0"/>
        <w:spacing w:before="120" w:beforeLines="50" w:after="50" w:line="440" w:lineRule="exact"/>
        <w:outlineLvl w:val="1"/>
        <w:rPr>
          <w:color w:val="auto"/>
          <w:szCs w:val="21"/>
          <w:highlight w:val="none"/>
        </w:rPr>
      </w:pPr>
      <w:r>
        <w:rPr>
          <w:rFonts w:hint="eastAsia"/>
          <w:bCs/>
          <w:color w:val="auto"/>
          <w:sz w:val="24"/>
          <w:highlight w:val="none"/>
        </w:rPr>
        <w:t xml:space="preserve"> </w:t>
      </w:r>
      <w:r>
        <w:rPr>
          <w:bCs/>
          <w:color w:val="auto"/>
          <w:sz w:val="24"/>
          <w:highlight w:val="none"/>
        </w:rPr>
        <w:t xml:space="preserve">   </w:t>
      </w:r>
      <w:r>
        <w:rPr>
          <w:rFonts w:hint="eastAsia"/>
          <w:color w:val="auto"/>
          <w:szCs w:val="21"/>
          <w:highlight w:val="none"/>
        </w:rPr>
        <w:t>我方参加贵方组织的</w:t>
      </w:r>
      <w:r>
        <w:rPr>
          <w:rFonts w:hint="eastAsia"/>
          <w:i/>
          <w:iCs/>
          <w:color w:val="auto"/>
          <w:szCs w:val="21"/>
          <w:highlight w:val="none"/>
          <w:u w:val="single"/>
        </w:rPr>
        <w:t>（项目名称）（项目编号） 分标</w:t>
      </w:r>
      <w:r>
        <w:rPr>
          <w:rFonts w:hint="eastAsia"/>
          <w:color w:val="auto"/>
          <w:szCs w:val="21"/>
          <w:highlight w:val="none"/>
        </w:rPr>
        <w:t>项目的投标，特就投标事宜作出以下声明：</w:t>
      </w:r>
    </w:p>
    <w:p>
      <w:pPr>
        <w:snapToGrid w:val="0"/>
        <w:spacing w:before="120" w:beforeLines="50" w:after="50" w:line="440" w:lineRule="exact"/>
        <w:ind w:firstLine="420" w:firstLineChars="200"/>
        <w:outlineLvl w:val="1"/>
        <w:rPr>
          <w:color w:val="auto"/>
          <w:szCs w:val="21"/>
          <w:highlight w:val="none"/>
        </w:rPr>
      </w:pPr>
      <w:r>
        <w:rPr>
          <w:color w:val="auto"/>
          <w:szCs w:val="21"/>
          <w:highlight w:val="none"/>
        </w:rPr>
        <w:t>1</w:t>
      </w:r>
      <w:r>
        <w:rPr>
          <w:rFonts w:hint="eastAsia"/>
          <w:color w:val="auto"/>
          <w:szCs w:val="21"/>
          <w:highlight w:val="none"/>
        </w:rPr>
        <w:t>、我方愿意授权</w:t>
      </w:r>
      <w:r>
        <w:rPr>
          <w:rFonts w:hint="eastAsia"/>
          <w:color w:val="auto"/>
          <w:highlight w:val="none"/>
        </w:rPr>
        <w:t>贵方工作人员</w:t>
      </w:r>
      <w:r>
        <w:rPr>
          <w:rFonts w:hint="eastAsia"/>
          <w:color w:val="auto"/>
          <w:szCs w:val="21"/>
          <w:highlight w:val="none"/>
        </w:rPr>
        <w:t>代表我方检查响应文件的密封性、确认截标记录、认可截标结果。</w:t>
      </w:r>
    </w:p>
    <w:p>
      <w:pPr>
        <w:snapToGrid w:val="0"/>
        <w:spacing w:before="120" w:beforeLines="50" w:after="50" w:line="440" w:lineRule="exact"/>
        <w:ind w:firstLine="420" w:firstLineChars="200"/>
        <w:outlineLvl w:val="1"/>
        <w:rPr>
          <w:color w:val="auto"/>
          <w:szCs w:val="21"/>
          <w:highlight w:val="none"/>
        </w:rPr>
      </w:pPr>
      <w:r>
        <w:rPr>
          <w:color w:val="auto"/>
          <w:szCs w:val="21"/>
          <w:highlight w:val="none"/>
        </w:rPr>
        <w:t>2</w:t>
      </w:r>
      <w:r>
        <w:rPr>
          <w:rFonts w:hint="eastAsia"/>
          <w:color w:val="auto"/>
          <w:szCs w:val="21"/>
          <w:highlight w:val="none"/>
        </w:rPr>
        <w:t>、我方授权代表签署的任何文件及其扫描件，我方均予以认可。</w:t>
      </w:r>
    </w:p>
    <w:p>
      <w:pPr>
        <w:snapToGrid w:val="0"/>
        <w:spacing w:before="120" w:beforeLines="50" w:after="50" w:line="440" w:lineRule="exact"/>
        <w:ind w:firstLine="420" w:firstLineChars="200"/>
        <w:outlineLvl w:val="1"/>
        <w:rPr>
          <w:color w:val="auto"/>
          <w:szCs w:val="21"/>
          <w:highlight w:val="none"/>
        </w:rPr>
      </w:pPr>
      <w:r>
        <w:rPr>
          <w:color w:val="auto"/>
          <w:szCs w:val="21"/>
          <w:highlight w:val="none"/>
        </w:rPr>
        <w:t>3</w:t>
      </w:r>
      <w:r>
        <w:rPr>
          <w:rFonts w:hint="eastAsia"/>
          <w:color w:val="auto"/>
          <w:szCs w:val="21"/>
          <w:highlight w:val="none"/>
        </w:rPr>
        <w:t>、我方以上声明均为真实意思表示，如有虚假，愿意承担一切不利法律后果。</w:t>
      </w:r>
    </w:p>
    <w:p>
      <w:pPr>
        <w:snapToGrid w:val="0"/>
        <w:spacing w:before="120" w:beforeLines="50" w:after="50" w:line="440" w:lineRule="exact"/>
        <w:ind w:firstLine="630" w:firstLineChars="300"/>
        <w:outlineLvl w:val="0"/>
        <w:rPr>
          <w:color w:val="auto"/>
          <w:szCs w:val="21"/>
          <w:highlight w:val="none"/>
        </w:rPr>
      </w:pPr>
      <w:bookmarkStart w:id="60" w:name="_Toc11720"/>
      <w:r>
        <w:rPr>
          <w:rFonts w:hint="eastAsia"/>
          <w:color w:val="auto"/>
          <w:szCs w:val="21"/>
          <w:highlight w:val="none"/>
        </w:rPr>
        <w:t>特此声明。</w:t>
      </w:r>
      <w:bookmarkEnd w:id="60"/>
    </w:p>
    <w:p>
      <w:pPr>
        <w:wordWrap w:val="0"/>
        <w:snapToGrid w:val="0"/>
        <w:spacing w:before="120" w:beforeLines="50" w:after="50" w:line="440" w:lineRule="exact"/>
        <w:jc w:val="right"/>
        <w:outlineLvl w:val="0"/>
        <w:rPr>
          <w:bCs/>
          <w:color w:val="auto"/>
          <w:sz w:val="24"/>
          <w:highlight w:val="none"/>
        </w:rPr>
      </w:pPr>
      <w:bookmarkStart w:id="61" w:name="_Toc5598"/>
      <w:r>
        <w:rPr>
          <w:rFonts w:hint="eastAsia"/>
          <w:bCs/>
          <w:color w:val="auto"/>
          <w:sz w:val="24"/>
          <w:highlight w:val="none"/>
        </w:rPr>
        <w:t>供应商名称（公章）：</w:t>
      </w:r>
      <w:bookmarkEnd w:id="61"/>
      <w:r>
        <w:rPr>
          <w:bCs/>
          <w:color w:val="auto"/>
          <w:sz w:val="24"/>
          <w:highlight w:val="none"/>
          <w:u w:val="single"/>
        </w:rPr>
        <w:t xml:space="preserve">           </w:t>
      </w:r>
    </w:p>
    <w:p>
      <w:pPr>
        <w:wordWrap w:val="0"/>
        <w:snapToGrid w:val="0"/>
        <w:spacing w:before="120" w:beforeLines="50" w:after="50" w:line="440" w:lineRule="exact"/>
        <w:jc w:val="right"/>
        <w:outlineLvl w:val="0"/>
        <w:rPr>
          <w:bCs/>
          <w:color w:val="auto"/>
          <w:sz w:val="24"/>
          <w:highlight w:val="none"/>
          <w:u w:val="single"/>
        </w:rPr>
      </w:pPr>
      <w:bookmarkStart w:id="62" w:name="_Toc18377"/>
      <w:r>
        <w:rPr>
          <w:rFonts w:hint="eastAsia"/>
          <w:bCs/>
          <w:color w:val="auto"/>
          <w:sz w:val="24"/>
          <w:highlight w:val="none"/>
        </w:rPr>
        <w:t>法定代表人或授权委托代表签字：</w:t>
      </w:r>
      <w:bookmarkEnd w:id="62"/>
      <w:r>
        <w:rPr>
          <w:rFonts w:hint="eastAsia"/>
          <w:bCs/>
          <w:color w:val="auto"/>
          <w:sz w:val="24"/>
          <w:highlight w:val="none"/>
          <w:u w:val="single"/>
        </w:rPr>
        <w:t xml:space="preserve"> </w:t>
      </w:r>
      <w:r>
        <w:rPr>
          <w:bCs/>
          <w:color w:val="auto"/>
          <w:sz w:val="24"/>
          <w:highlight w:val="none"/>
          <w:u w:val="single"/>
        </w:rPr>
        <w:t xml:space="preserve">          </w:t>
      </w:r>
    </w:p>
    <w:p>
      <w:pPr>
        <w:snapToGrid w:val="0"/>
        <w:spacing w:before="120" w:beforeLines="50" w:after="50" w:line="440" w:lineRule="exact"/>
        <w:jc w:val="right"/>
        <w:outlineLvl w:val="0"/>
        <w:rPr>
          <w:bCs/>
          <w:color w:val="auto"/>
          <w:sz w:val="24"/>
          <w:highlight w:val="none"/>
        </w:rPr>
      </w:pPr>
      <w:bookmarkStart w:id="63" w:name="_Toc15795"/>
      <w:r>
        <w:rPr>
          <w:rFonts w:hint="eastAsia"/>
          <w:bCs/>
          <w:color w:val="auto"/>
          <w:sz w:val="24"/>
          <w:highlight w:val="none"/>
        </w:rPr>
        <w:t>日期：</w:t>
      </w:r>
      <w:r>
        <w:rPr>
          <w:rFonts w:hint="eastAsia"/>
          <w:bCs/>
          <w:color w:val="auto"/>
          <w:sz w:val="24"/>
          <w:highlight w:val="none"/>
          <w:u w:val="single"/>
        </w:rPr>
        <w:t xml:space="preserve"> </w:t>
      </w:r>
      <w:r>
        <w:rPr>
          <w:bCs/>
          <w:color w:val="auto"/>
          <w:sz w:val="24"/>
          <w:highlight w:val="none"/>
          <w:u w:val="single"/>
        </w:rPr>
        <w:t xml:space="preserve">      </w:t>
      </w:r>
      <w:r>
        <w:rPr>
          <w:rFonts w:hint="eastAsia"/>
          <w:bCs/>
          <w:color w:val="auto"/>
          <w:sz w:val="24"/>
          <w:highlight w:val="none"/>
        </w:rPr>
        <w:t>年</w:t>
      </w:r>
      <w:r>
        <w:rPr>
          <w:rFonts w:hint="eastAsia"/>
          <w:bCs/>
          <w:color w:val="auto"/>
          <w:sz w:val="24"/>
          <w:highlight w:val="none"/>
          <w:u w:val="single"/>
        </w:rPr>
        <w:t xml:space="preserve"> </w:t>
      </w:r>
      <w:r>
        <w:rPr>
          <w:bCs/>
          <w:color w:val="auto"/>
          <w:sz w:val="24"/>
          <w:highlight w:val="none"/>
          <w:u w:val="single"/>
        </w:rPr>
        <w:t xml:space="preserve">    </w:t>
      </w:r>
      <w:r>
        <w:rPr>
          <w:rFonts w:hint="eastAsia"/>
          <w:bCs/>
          <w:color w:val="auto"/>
          <w:sz w:val="24"/>
          <w:highlight w:val="none"/>
        </w:rPr>
        <w:t>月</w:t>
      </w:r>
      <w:r>
        <w:rPr>
          <w:rFonts w:hint="eastAsia"/>
          <w:bCs/>
          <w:color w:val="auto"/>
          <w:sz w:val="24"/>
          <w:highlight w:val="none"/>
          <w:u w:val="single"/>
        </w:rPr>
        <w:t xml:space="preserve"> </w:t>
      </w:r>
      <w:r>
        <w:rPr>
          <w:bCs/>
          <w:color w:val="auto"/>
          <w:sz w:val="24"/>
          <w:highlight w:val="none"/>
          <w:u w:val="single"/>
        </w:rPr>
        <w:t xml:space="preserve">     </w:t>
      </w:r>
      <w:r>
        <w:rPr>
          <w:rFonts w:hint="eastAsia"/>
          <w:bCs/>
          <w:color w:val="auto"/>
          <w:sz w:val="24"/>
          <w:highlight w:val="none"/>
        </w:rPr>
        <w:t>日</w:t>
      </w:r>
      <w:bookmarkEnd w:id="63"/>
    </w:p>
    <w:bookmarkEnd w:id="59"/>
    <w:p>
      <w:pPr>
        <w:spacing w:line="300" w:lineRule="exact"/>
        <w:rPr>
          <w:color w:val="auto"/>
          <w:highlight w:val="none"/>
        </w:rPr>
      </w:pPr>
    </w:p>
    <w:bookmarkEnd w:id="64"/>
    <w:sectPr>
      <w:headerReference r:id="rId15" w:type="default"/>
      <w:pgSz w:w="11906" w:h="16838"/>
      <w:pgMar w:top="850" w:right="1134" w:bottom="850" w:left="1134" w:header="454" w:footer="45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rPr>
      <w:t xml:space="preserve">广西机电设备招标有限公司谈判文件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rPr>
      <w:t xml:space="preserve">广西机电设备招标有限公司谈判文件                                                           </w:t>
    </w:r>
  </w:p>
  <w:p>
    <w:pPr>
      <w:pStyle w:val="28"/>
      <w:pBdr>
        <w:bottom w:val="none" w:color="auto" w:sz="0" w:space="0"/>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rPr>
      <w:t xml:space="preserve">广西机电设备招标有限公司谈判文件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rPr>
      <w:t>广西机电设备招标有限公司谈判文件                                                     评审方法及评审标准</w:t>
    </w:r>
  </w:p>
  <w:p>
    <w:pPr>
      <w:pStyle w:val="28"/>
      <w:pBdr>
        <w:bottom w:val="none" w:color="auto" w:sz="0" w:space="0"/>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rPr>
      <w:t xml:space="preserve">广西机电设备招标有限公司谈判文件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广西机电设备招标有限公司谈判文件                                                       </w:t>
    </w:r>
    <w:r>
      <w:rPr>
        <w:sz w:val="18"/>
        <w:szCs w:val="18"/>
        <w:u w:val="single"/>
      </w:rPr>
      <w:t xml:space="preserve">                                                          </w:t>
    </w:r>
    <w:r>
      <w:rPr>
        <w:rFonts w:hint="eastAsia"/>
        <w:sz w:val="18"/>
        <w:szCs w:val="18"/>
        <w:u w:val="single"/>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u w:val="single"/>
      </w:rPr>
    </w:pPr>
    <w:r>
      <w:rPr>
        <w:rFonts w:hint="eastAsia"/>
        <w:sz w:val="18"/>
        <w:szCs w:val="18"/>
        <w:u w:val="single"/>
      </w:rPr>
      <w:t xml:space="preserve">广西机电设备招标有限公司谈判文件                                                       </w:t>
    </w:r>
    <w:r>
      <w:rPr>
        <w:sz w:val="18"/>
        <w:szCs w:val="18"/>
        <w:u w:val="single"/>
      </w:rPr>
      <w:t xml:space="preserve">            </w:t>
    </w:r>
    <w:r>
      <w:rPr>
        <w:rFonts w:hint="eastAsia"/>
        <w:sz w:val="18"/>
        <w:szCs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F1F11"/>
    <w:multiLevelType w:val="singleLevel"/>
    <w:tmpl w:val="D49F1F11"/>
    <w:lvl w:ilvl="0" w:tentative="0">
      <w:start w:val="1"/>
      <w:numFmt w:val="decimal"/>
      <w:lvlText w:val="%1."/>
      <w:lvlJc w:val="left"/>
      <w:pPr>
        <w:tabs>
          <w:tab w:val="left" w:pos="312"/>
        </w:tabs>
      </w:pPr>
    </w:lvl>
  </w:abstractNum>
  <w:abstractNum w:abstractNumId="1">
    <w:nsid w:val="FD52B989"/>
    <w:multiLevelType w:val="singleLevel"/>
    <w:tmpl w:val="FD52B989"/>
    <w:lvl w:ilvl="0" w:tentative="0">
      <w:start w:val="5"/>
      <w:numFmt w:val="decimal"/>
      <w:lvlText w:val="%1."/>
      <w:lvlJc w:val="left"/>
      <w:pPr>
        <w:tabs>
          <w:tab w:val="left" w:pos="312"/>
        </w:tabs>
      </w:pPr>
    </w:lvl>
  </w:abstractNum>
  <w:abstractNum w:abstractNumId="2">
    <w:nsid w:val="63CC0348"/>
    <w:multiLevelType w:val="singleLevel"/>
    <w:tmpl w:val="63CC0348"/>
    <w:lvl w:ilvl="0" w:tentative="0">
      <w:start w:val="8"/>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jZDZmNDk5MmM2M2UzZDJiOWZkMmJkZDk4OTkxOWUifQ=="/>
  </w:docVars>
  <w:rsids>
    <w:rsidRoot w:val="00172A27"/>
    <w:rsid w:val="0000020A"/>
    <w:rsid w:val="000003EF"/>
    <w:rsid w:val="0000091B"/>
    <w:rsid w:val="00000D0A"/>
    <w:rsid w:val="00000D19"/>
    <w:rsid w:val="00000E1A"/>
    <w:rsid w:val="00001B3E"/>
    <w:rsid w:val="00001CD6"/>
    <w:rsid w:val="00002DDA"/>
    <w:rsid w:val="00003DAE"/>
    <w:rsid w:val="0000538C"/>
    <w:rsid w:val="000058D7"/>
    <w:rsid w:val="00005E55"/>
    <w:rsid w:val="00006E2C"/>
    <w:rsid w:val="000079FF"/>
    <w:rsid w:val="00007B0D"/>
    <w:rsid w:val="000102A9"/>
    <w:rsid w:val="00010B1A"/>
    <w:rsid w:val="00010CAB"/>
    <w:rsid w:val="00011D72"/>
    <w:rsid w:val="00012078"/>
    <w:rsid w:val="0001292D"/>
    <w:rsid w:val="00013139"/>
    <w:rsid w:val="0001371C"/>
    <w:rsid w:val="00013748"/>
    <w:rsid w:val="00013D41"/>
    <w:rsid w:val="000143A3"/>
    <w:rsid w:val="00014DD6"/>
    <w:rsid w:val="0001598C"/>
    <w:rsid w:val="000160DA"/>
    <w:rsid w:val="00016C31"/>
    <w:rsid w:val="000207AB"/>
    <w:rsid w:val="00020BB1"/>
    <w:rsid w:val="00020BF0"/>
    <w:rsid w:val="000215B7"/>
    <w:rsid w:val="000217BF"/>
    <w:rsid w:val="000217D7"/>
    <w:rsid w:val="00021C98"/>
    <w:rsid w:val="00021CCD"/>
    <w:rsid w:val="00021EE3"/>
    <w:rsid w:val="00022424"/>
    <w:rsid w:val="000228AB"/>
    <w:rsid w:val="000233CA"/>
    <w:rsid w:val="00023652"/>
    <w:rsid w:val="0002407B"/>
    <w:rsid w:val="00024633"/>
    <w:rsid w:val="0002560A"/>
    <w:rsid w:val="00025CB2"/>
    <w:rsid w:val="00025DA0"/>
    <w:rsid w:val="0002696D"/>
    <w:rsid w:val="0002754D"/>
    <w:rsid w:val="00027666"/>
    <w:rsid w:val="000276B2"/>
    <w:rsid w:val="00027A46"/>
    <w:rsid w:val="00027AF3"/>
    <w:rsid w:val="00030024"/>
    <w:rsid w:val="00030124"/>
    <w:rsid w:val="000305FD"/>
    <w:rsid w:val="0003084F"/>
    <w:rsid w:val="00030C2F"/>
    <w:rsid w:val="00030DAA"/>
    <w:rsid w:val="000311F9"/>
    <w:rsid w:val="00031757"/>
    <w:rsid w:val="00032686"/>
    <w:rsid w:val="0003274B"/>
    <w:rsid w:val="00032AD8"/>
    <w:rsid w:val="000331CC"/>
    <w:rsid w:val="0003322E"/>
    <w:rsid w:val="00033927"/>
    <w:rsid w:val="00035840"/>
    <w:rsid w:val="00035844"/>
    <w:rsid w:val="00036BAA"/>
    <w:rsid w:val="00037895"/>
    <w:rsid w:val="00037C63"/>
    <w:rsid w:val="00037CE4"/>
    <w:rsid w:val="00040187"/>
    <w:rsid w:val="00040AC1"/>
    <w:rsid w:val="000418B1"/>
    <w:rsid w:val="0004228E"/>
    <w:rsid w:val="00042BF9"/>
    <w:rsid w:val="00043295"/>
    <w:rsid w:val="00045069"/>
    <w:rsid w:val="00045194"/>
    <w:rsid w:val="00045947"/>
    <w:rsid w:val="000462A8"/>
    <w:rsid w:val="00046360"/>
    <w:rsid w:val="0004653D"/>
    <w:rsid w:val="000465AB"/>
    <w:rsid w:val="00046E59"/>
    <w:rsid w:val="000472E6"/>
    <w:rsid w:val="000479CD"/>
    <w:rsid w:val="00047FA4"/>
    <w:rsid w:val="000500E6"/>
    <w:rsid w:val="000504FE"/>
    <w:rsid w:val="00052A50"/>
    <w:rsid w:val="00052CE3"/>
    <w:rsid w:val="000538AC"/>
    <w:rsid w:val="00053BFC"/>
    <w:rsid w:val="0005428F"/>
    <w:rsid w:val="00054870"/>
    <w:rsid w:val="00054ABD"/>
    <w:rsid w:val="00054F7D"/>
    <w:rsid w:val="00055230"/>
    <w:rsid w:val="00055557"/>
    <w:rsid w:val="00055A1D"/>
    <w:rsid w:val="00055A8A"/>
    <w:rsid w:val="00055E6D"/>
    <w:rsid w:val="00055F06"/>
    <w:rsid w:val="0005625F"/>
    <w:rsid w:val="000563CB"/>
    <w:rsid w:val="0005649E"/>
    <w:rsid w:val="00056597"/>
    <w:rsid w:val="00056999"/>
    <w:rsid w:val="0005700C"/>
    <w:rsid w:val="00057393"/>
    <w:rsid w:val="00057E45"/>
    <w:rsid w:val="000606B6"/>
    <w:rsid w:val="00060C55"/>
    <w:rsid w:val="000616F0"/>
    <w:rsid w:val="00062637"/>
    <w:rsid w:val="000631AC"/>
    <w:rsid w:val="000631B7"/>
    <w:rsid w:val="000639D4"/>
    <w:rsid w:val="00064A48"/>
    <w:rsid w:val="00064C80"/>
    <w:rsid w:val="00065AB2"/>
    <w:rsid w:val="00065AB7"/>
    <w:rsid w:val="00065D71"/>
    <w:rsid w:val="000673D8"/>
    <w:rsid w:val="00067DE7"/>
    <w:rsid w:val="000706AC"/>
    <w:rsid w:val="00070950"/>
    <w:rsid w:val="000709D3"/>
    <w:rsid w:val="00070F5F"/>
    <w:rsid w:val="000712F8"/>
    <w:rsid w:val="00071A6A"/>
    <w:rsid w:val="00071C4A"/>
    <w:rsid w:val="00071C95"/>
    <w:rsid w:val="00071E9C"/>
    <w:rsid w:val="0007216A"/>
    <w:rsid w:val="00072A95"/>
    <w:rsid w:val="00073F01"/>
    <w:rsid w:val="00074923"/>
    <w:rsid w:val="000750EA"/>
    <w:rsid w:val="000753A7"/>
    <w:rsid w:val="00076AA9"/>
    <w:rsid w:val="00077698"/>
    <w:rsid w:val="00077891"/>
    <w:rsid w:val="0007797E"/>
    <w:rsid w:val="000800AA"/>
    <w:rsid w:val="0008017C"/>
    <w:rsid w:val="00080AA6"/>
    <w:rsid w:val="00081C1C"/>
    <w:rsid w:val="00081F2E"/>
    <w:rsid w:val="000820CD"/>
    <w:rsid w:val="000822F0"/>
    <w:rsid w:val="00082611"/>
    <w:rsid w:val="0008264F"/>
    <w:rsid w:val="0008372E"/>
    <w:rsid w:val="00083A64"/>
    <w:rsid w:val="00083B97"/>
    <w:rsid w:val="000866A9"/>
    <w:rsid w:val="00086EC2"/>
    <w:rsid w:val="00087358"/>
    <w:rsid w:val="000873F5"/>
    <w:rsid w:val="00090053"/>
    <w:rsid w:val="000900DF"/>
    <w:rsid w:val="00090193"/>
    <w:rsid w:val="0009021F"/>
    <w:rsid w:val="00091D8D"/>
    <w:rsid w:val="00093149"/>
    <w:rsid w:val="00093DF8"/>
    <w:rsid w:val="000941F6"/>
    <w:rsid w:val="000945C5"/>
    <w:rsid w:val="00094784"/>
    <w:rsid w:val="00094ECF"/>
    <w:rsid w:val="0009592E"/>
    <w:rsid w:val="00096686"/>
    <w:rsid w:val="0009715C"/>
    <w:rsid w:val="000A10DB"/>
    <w:rsid w:val="000A1429"/>
    <w:rsid w:val="000A2075"/>
    <w:rsid w:val="000A2968"/>
    <w:rsid w:val="000A3515"/>
    <w:rsid w:val="000A3518"/>
    <w:rsid w:val="000A6F1D"/>
    <w:rsid w:val="000A70C7"/>
    <w:rsid w:val="000A7238"/>
    <w:rsid w:val="000A791D"/>
    <w:rsid w:val="000B0698"/>
    <w:rsid w:val="000B09FE"/>
    <w:rsid w:val="000B15EF"/>
    <w:rsid w:val="000B26D6"/>
    <w:rsid w:val="000B28C2"/>
    <w:rsid w:val="000B316D"/>
    <w:rsid w:val="000B3194"/>
    <w:rsid w:val="000B3CFE"/>
    <w:rsid w:val="000B4EF3"/>
    <w:rsid w:val="000B554C"/>
    <w:rsid w:val="000B59FF"/>
    <w:rsid w:val="000B5D87"/>
    <w:rsid w:val="000B6F18"/>
    <w:rsid w:val="000B7E6D"/>
    <w:rsid w:val="000C350A"/>
    <w:rsid w:val="000C38C8"/>
    <w:rsid w:val="000C3CF9"/>
    <w:rsid w:val="000C4988"/>
    <w:rsid w:val="000C56F1"/>
    <w:rsid w:val="000C59D1"/>
    <w:rsid w:val="000C5D4B"/>
    <w:rsid w:val="000C645C"/>
    <w:rsid w:val="000C6F35"/>
    <w:rsid w:val="000C7045"/>
    <w:rsid w:val="000C7170"/>
    <w:rsid w:val="000C757A"/>
    <w:rsid w:val="000C7D9F"/>
    <w:rsid w:val="000C7FA4"/>
    <w:rsid w:val="000D1B95"/>
    <w:rsid w:val="000D3E1B"/>
    <w:rsid w:val="000D4061"/>
    <w:rsid w:val="000D4860"/>
    <w:rsid w:val="000D48FB"/>
    <w:rsid w:val="000D4B4F"/>
    <w:rsid w:val="000D4EC1"/>
    <w:rsid w:val="000D55FD"/>
    <w:rsid w:val="000D6AC8"/>
    <w:rsid w:val="000E01DF"/>
    <w:rsid w:val="000E1C04"/>
    <w:rsid w:val="000E2AD1"/>
    <w:rsid w:val="000E2BC5"/>
    <w:rsid w:val="000E3CD3"/>
    <w:rsid w:val="000E3D2F"/>
    <w:rsid w:val="000E4712"/>
    <w:rsid w:val="000E612C"/>
    <w:rsid w:val="000E6D38"/>
    <w:rsid w:val="000E72E7"/>
    <w:rsid w:val="000E72F6"/>
    <w:rsid w:val="000E75B3"/>
    <w:rsid w:val="000E7CC8"/>
    <w:rsid w:val="000F1B78"/>
    <w:rsid w:val="000F1F2C"/>
    <w:rsid w:val="000F1F51"/>
    <w:rsid w:val="000F1FB0"/>
    <w:rsid w:val="000F2181"/>
    <w:rsid w:val="000F24AC"/>
    <w:rsid w:val="000F2BA5"/>
    <w:rsid w:val="000F2F60"/>
    <w:rsid w:val="000F3A8A"/>
    <w:rsid w:val="000F4B3A"/>
    <w:rsid w:val="000F5331"/>
    <w:rsid w:val="000F55C9"/>
    <w:rsid w:val="000F6242"/>
    <w:rsid w:val="000F6F32"/>
    <w:rsid w:val="000F7264"/>
    <w:rsid w:val="000F7480"/>
    <w:rsid w:val="000F75A8"/>
    <w:rsid w:val="000F76E0"/>
    <w:rsid w:val="000F7F50"/>
    <w:rsid w:val="00100331"/>
    <w:rsid w:val="00101255"/>
    <w:rsid w:val="001016BB"/>
    <w:rsid w:val="0010251A"/>
    <w:rsid w:val="00102BC3"/>
    <w:rsid w:val="00103458"/>
    <w:rsid w:val="00104243"/>
    <w:rsid w:val="00104AFF"/>
    <w:rsid w:val="001054C2"/>
    <w:rsid w:val="00105A06"/>
    <w:rsid w:val="00105BBC"/>
    <w:rsid w:val="001078F4"/>
    <w:rsid w:val="00110797"/>
    <w:rsid w:val="00111ECD"/>
    <w:rsid w:val="001121DD"/>
    <w:rsid w:val="00112DBF"/>
    <w:rsid w:val="00112DD2"/>
    <w:rsid w:val="00113646"/>
    <w:rsid w:val="0011487E"/>
    <w:rsid w:val="001150C7"/>
    <w:rsid w:val="0011545B"/>
    <w:rsid w:val="00116258"/>
    <w:rsid w:val="0011730E"/>
    <w:rsid w:val="00117520"/>
    <w:rsid w:val="00117559"/>
    <w:rsid w:val="00117CB4"/>
    <w:rsid w:val="0012077F"/>
    <w:rsid w:val="00120813"/>
    <w:rsid w:val="0012099E"/>
    <w:rsid w:val="00120E60"/>
    <w:rsid w:val="0012130E"/>
    <w:rsid w:val="001213B0"/>
    <w:rsid w:val="00121741"/>
    <w:rsid w:val="00121818"/>
    <w:rsid w:val="00121832"/>
    <w:rsid w:val="00121BDD"/>
    <w:rsid w:val="0012235C"/>
    <w:rsid w:val="0012239D"/>
    <w:rsid w:val="00122A75"/>
    <w:rsid w:val="00122C14"/>
    <w:rsid w:val="0012405C"/>
    <w:rsid w:val="001241D1"/>
    <w:rsid w:val="00124985"/>
    <w:rsid w:val="00124F17"/>
    <w:rsid w:val="00125609"/>
    <w:rsid w:val="00126655"/>
    <w:rsid w:val="00126707"/>
    <w:rsid w:val="001269E0"/>
    <w:rsid w:val="00130116"/>
    <w:rsid w:val="0013190A"/>
    <w:rsid w:val="00131C94"/>
    <w:rsid w:val="00131DE6"/>
    <w:rsid w:val="00131EAD"/>
    <w:rsid w:val="001326DF"/>
    <w:rsid w:val="00132AD8"/>
    <w:rsid w:val="00132CCE"/>
    <w:rsid w:val="00133D01"/>
    <w:rsid w:val="00134510"/>
    <w:rsid w:val="00134BB0"/>
    <w:rsid w:val="0013590D"/>
    <w:rsid w:val="00136031"/>
    <w:rsid w:val="00136073"/>
    <w:rsid w:val="001361F7"/>
    <w:rsid w:val="00136606"/>
    <w:rsid w:val="00136806"/>
    <w:rsid w:val="001369A6"/>
    <w:rsid w:val="00136BD6"/>
    <w:rsid w:val="00136DBC"/>
    <w:rsid w:val="00136F77"/>
    <w:rsid w:val="00137856"/>
    <w:rsid w:val="00137BD8"/>
    <w:rsid w:val="00137E9D"/>
    <w:rsid w:val="00140291"/>
    <w:rsid w:val="001404CD"/>
    <w:rsid w:val="00141083"/>
    <w:rsid w:val="001422D4"/>
    <w:rsid w:val="00143FDC"/>
    <w:rsid w:val="001442C2"/>
    <w:rsid w:val="001449E1"/>
    <w:rsid w:val="00144D5F"/>
    <w:rsid w:val="0014647C"/>
    <w:rsid w:val="00147916"/>
    <w:rsid w:val="0014795D"/>
    <w:rsid w:val="001479AA"/>
    <w:rsid w:val="00147F00"/>
    <w:rsid w:val="00150564"/>
    <w:rsid w:val="001506A7"/>
    <w:rsid w:val="00150882"/>
    <w:rsid w:val="00150A4A"/>
    <w:rsid w:val="001518B5"/>
    <w:rsid w:val="00151BBA"/>
    <w:rsid w:val="0015252D"/>
    <w:rsid w:val="00152656"/>
    <w:rsid w:val="001526A2"/>
    <w:rsid w:val="00152C00"/>
    <w:rsid w:val="00152C2B"/>
    <w:rsid w:val="00152E98"/>
    <w:rsid w:val="00153084"/>
    <w:rsid w:val="001537D9"/>
    <w:rsid w:val="001540CA"/>
    <w:rsid w:val="00154304"/>
    <w:rsid w:val="0015430F"/>
    <w:rsid w:val="0015450A"/>
    <w:rsid w:val="0015477A"/>
    <w:rsid w:val="00154F0A"/>
    <w:rsid w:val="00155767"/>
    <w:rsid w:val="00156891"/>
    <w:rsid w:val="00156BA3"/>
    <w:rsid w:val="00157320"/>
    <w:rsid w:val="001579B9"/>
    <w:rsid w:val="001602EB"/>
    <w:rsid w:val="001610EB"/>
    <w:rsid w:val="00161A22"/>
    <w:rsid w:val="00161BE7"/>
    <w:rsid w:val="00161C1F"/>
    <w:rsid w:val="00161C2F"/>
    <w:rsid w:val="001620B6"/>
    <w:rsid w:val="001621E9"/>
    <w:rsid w:val="00162664"/>
    <w:rsid w:val="00162813"/>
    <w:rsid w:val="00163005"/>
    <w:rsid w:val="00163194"/>
    <w:rsid w:val="00163CE9"/>
    <w:rsid w:val="00163DB9"/>
    <w:rsid w:val="00164C68"/>
    <w:rsid w:val="00164F8F"/>
    <w:rsid w:val="0016529F"/>
    <w:rsid w:val="001658F5"/>
    <w:rsid w:val="00165F38"/>
    <w:rsid w:val="001661B8"/>
    <w:rsid w:val="00166237"/>
    <w:rsid w:val="0016644D"/>
    <w:rsid w:val="00166EE6"/>
    <w:rsid w:val="001672AF"/>
    <w:rsid w:val="001677C3"/>
    <w:rsid w:val="00170A14"/>
    <w:rsid w:val="0017112B"/>
    <w:rsid w:val="0017260F"/>
    <w:rsid w:val="001726CF"/>
    <w:rsid w:val="00172A27"/>
    <w:rsid w:val="00172B96"/>
    <w:rsid w:val="00172BAF"/>
    <w:rsid w:val="00172EC0"/>
    <w:rsid w:val="00173191"/>
    <w:rsid w:val="001731C7"/>
    <w:rsid w:val="001737FE"/>
    <w:rsid w:val="00173F09"/>
    <w:rsid w:val="0017426E"/>
    <w:rsid w:val="00176E50"/>
    <w:rsid w:val="00176FB5"/>
    <w:rsid w:val="0017723E"/>
    <w:rsid w:val="001775DA"/>
    <w:rsid w:val="00177959"/>
    <w:rsid w:val="00177AD0"/>
    <w:rsid w:val="00177D53"/>
    <w:rsid w:val="001804A1"/>
    <w:rsid w:val="00181135"/>
    <w:rsid w:val="00181344"/>
    <w:rsid w:val="00181C0B"/>
    <w:rsid w:val="00182382"/>
    <w:rsid w:val="00182DF8"/>
    <w:rsid w:val="00184196"/>
    <w:rsid w:val="00184948"/>
    <w:rsid w:val="00185AA7"/>
    <w:rsid w:val="00185D27"/>
    <w:rsid w:val="00187892"/>
    <w:rsid w:val="00187DFB"/>
    <w:rsid w:val="00190463"/>
    <w:rsid w:val="00191323"/>
    <w:rsid w:val="00191435"/>
    <w:rsid w:val="00192213"/>
    <w:rsid w:val="001927A2"/>
    <w:rsid w:val="001927AF"/>
    <w:rsid w:val="001927DA"/>
    <w:rsid w:val="00192C82"/>
    <w:rsid w:val="0019335B"/>
    <w:rsid w:val="00193A21"/>
    <w:rsid w:val="0019423A"/>
    <w:rsid w:val="00195648"/>
    <w:rsid w:val="001959DC"/>
    <w:rsid w:val="00195F44"/>
    <w:rsid w:val="00196019"/>
    <w:rsid w:val="00196C83"/>
    <w:rsid w:val="00196E92"/>
    <w:rsid w:val="00197054"/>
    <w:rsid w:val="001A0896"/>
    <w:rsid w:val="001A21A3"/>
    <w:rsid w:val="001A315B"/>
    <w:rsid w:val="001A3856"/>
    <w:rsid w:val="001A3F6D"/>
    <w:rsid w:val="001A43A8"/>
    <w:rsid w:val="001A4C94"/>
    <w:rsid w:val="001A5DA1"/>
    <w:rsid w:val="001A5DB5"/>
    <w:rsid w:val="001A5F35"/>
    <w:rsid w:val="001A63AC"/>
    <w:rsid w:val="001A775C"/>
    <w:rsid w:val="001A7CBA"/>
    <w:rsid w:val="001B05F1"/>
    <w:rsid w:val="001B1736"/>
    <w:rsid w:val="001B1AE6"/>
    <w:rsid w:val="001B1B5E"/>
    <w:rsid w:val="001B32D3"/>
    <w:rsid w:val="001B32E4"/>
    <w:rsid w:val="001B35B1"/>
    <w:rsid w:val="001B3778"/>
    <w:rsid w:val="001B3E30"/>
    <w:rsid w:val="001B3E4A"/>
    <w:rsid w:val="001B4ED3"/>
    <w:rsid w:val="001B50CC"/>
    <w:rsid w:val="001B5355"/>
    <w:rsid w:val="001B6049"/>
    <w:rsid w:val="001B60D4"/>
    <w:rsid w:val="001B6482"/>
    <w:rsid w:val="001B66F9"/>
    <w:rsid w:val="001B7014"/>
    <w:rsid w:val="001B7A12"/>
    <w:rsid w:val="001B7C32"/>
    <w:rsid w:val="001B7CBF"/>
    <w:rsid w:val="001B7F9E"/>
    <w:rsid w:val="001C148A"/>
    <w:rsid w:val="001C15DB"/>
    <w:rsid w:val="001C1814"/>
    <w:rsid w:val="001C1860"/>
    <w:rsid w:val="001C3B66"/>
    <w:rsid w:val="001C3D80"/>
    <w:rsid w:val="001C4361"/>
    <w:rsid w:val="001C51A3"/>
    <w:rsid w:val="001C5358"/>
    <w:rsid w:val="001C56D1"/>
    <w:rsid w:val="001C59AB"/>
    <w:rsid w:val="001C6154"/>
    <w:rsid w:val="001C6921"/>
    <w:rsid w:val="001C7A8C"/>
    <w:rsid w:val="001D15D9"/>
    <w:rsid w:val="001D1930"/>
    <w:rsid w:val="001D23EF"/>
    <w:rsid w:val="001D3534"/>
    <w:rsid w:val="001D4681"/>
    <w:rsid w:val="001D537F"/>
    <w:rsid w:val="001D678A"/>
    <w:rsid w:val="001D723E"/>
    <w:rsid w:val="001D7681"/>
    <w:rsid w:val="001E0464"/>
    <w:rsid w:val="001E131D"/>
    <w:rsid w:val="001E1FA3"/>
    <w:rsid w:val="001E21AC"/>
    <w:rsid w:val="001E24A4"/>
    <w:rsid w:val="001E28CC"/>
    <w:rsid w:val="001E321D"/>
    <w:rsid w:val="001E38B1"/>
    <w:rsid w:val="001E3FEB"/>
    <w:rsid w:val="001E478C"/>
    <w:rsid w:val="001E4C00"/>
    <w:rsid w:val="001E4D12"/>
    <w:rsid w:val="001E4D56"/>
    <w:rsid w:val="001E5B91"/>
    <w:rsid w:val="001E6426"/>
    <w:rsid w:val="001E697B"/>
    <w:rsid w:val="001E72E0"/>
    <w:rsid w:val="001F0064"/>
    <w:rsid w:val="001F09D1"/>
    <w:rsid w:val="001F0EBB"/>
    <w:rsid w:val="001F16DF"/>
    <w:rsid w:val="001F17B3"/>
    <w:rsid w:val="001F1960"/>
    <w:rsid w:val="001F30D8"/>
    <w:rsid w:val="001F3661"/>
    <w:rsid w:val="001F3BF9"/>
    <w:rsid w:val="001F3DAE"/>
    <w:rsid w:val="001F4685"/>
    <w:rsid w:val="001F4A98"/>
    <w:rsid w:val="001F6159"/>
    <w:rsid w:val="001F6680"/>
    <w:rsid w:val="001F6F34"/>
    <w:rsid w:val="001F6FB6"/>
    <w:rsid w:val="001F740D"/>
    <w:rsid w:val="001F792F"/>
    <w:rsid w:val="001F7AC9"/>
    <w:rsid w:val="001F7B97"/>
    <w:rsid w:val="001F7B9E"/>
    <w:rsid w:val="001F7BE1"/>
    <w:rsid w:val="001F7C97"/>
    <w:rsid w:val="00200A84"/>
    <w:rsid w:val="002014F7"/>
    <w:rsid w:val="00202576"/>
    <w:rsid w:val="00202B50"/>
    <w:rsid w:val="00202EF9"/>
    <w:rsid w:val="00203204"/>
    <w:rsid w:val="00203236"/>
    <w:rsid w:val="002036E8"/>
    <w:rsid w:val="00203894"/>
    <w:rsid w:val="00203999"/>
    <w:rsid w:val="00203B3F"/>
    <w:rsid w:val="002048AD"/>
    <w:rsid w:val="0020494A"/>
    <w:rsid w:val="002051F7"/>
    <w:rsid w:val="0020531C"/>
    <w:rsid w:val="00205C3B"/>
    <w:rsid w:val="00205EF5"/>
    <w:rsid w:val="002067D2"/>
    <w:rsid w:val="0020708A"/>
    <w:rsid w:val="00207642"/>
    <w:rsid w:val="00207F6A"/>
    <w:rsid w:val="00210256"/>
    <w:rsid w:val="00210394"/>
    <w:rsid w:val="0021076E"/>
    <w:rsid w:val="00212B08"/>
    <w:rsid w:val="00213289"/>
    <w:rsid w:val="002132DA"/>
    <w:rsid w:val="00213825"/>
    <w:rsid w:val="00214189"/>
    <w:rsid w:val="00214ADD"/>
    <w:rsid w:val="00214F82"/>
    <w:rsid w:val="0021525B"/>
    <w:rsid w:val="002153E3"/>
    <w:rsid w:val="00215A0D"/>
    <w:rsid w:val="00216B19"/>
    <w:rsid w:val="00216CCC"/>
    <w:rsid w:val="00216E16"/>
    <w:rsid w:val="0021738B"/>
    <w:rsid w:val="00217AA1"/>
    <w:rsid w:val="00220082"/>
    <w:rsid w:val="00220248"/>
    <w:rsid w:val="002203BD"/>
    <w:rsid w:val="00220776"/>
    <w:rsid w:val="00222027"/>
    <w:rsid w:val="002221C3"/>
    <w:rsid w:val="002223BA"/>
    <w:rsid w:val="0022299A"/>
    <w:rsid w:val="00222B91"/>
    <w:rsid w:val="002230FD"/>
    <w:rsid w:val="002232B3"/>
    <w:rsid w:val="002242DB"/>
    <w:rsid w:val="00224756"/>
    <w:rsid w:val="00224878"/>
    <w:rsid w:val="0022514D"/>
    <w:rsid w:val="00225366"/>
    <w:rsid w:val="00225495"/>
    <w:rsid w:val="00225CEE"/>
    <w:rsid w:val="00226447"/>
    <w:rsid w:val="002266DB"/>
    <w:rsid w:val="00226894"/>
    <w:rsid w:val="002268B0"/>
    <w:rsid w:val="00227577"/>
    <w:rsid w:val="002277E9"/>
    <w:rsid w:val="002301C5"/>
    <w:rsid w:val="002303A6"/>
    <w:rsid w:val="00230894"/>
    <w:rsid w:val="002308E9"/>
    <w:rsid w:val="00231B36"/>
    <w:rsid w:val="00231F9E"/>
    <w:rsid w:val="00232498"/>
    <w:rsid w:val="0023254E"/>
    <w:rsid w:val="00232918"/>
    <w:rsid w:val="00232D34"/>
    <w:rsid w:val="0023350C"/>
    <w:rsid w:val="00233E70"/>
    <w:rsid w:val="00234281"/>
    <w:rsid w:val="00234FD3"/>
    <w:rsid w:val="00236B90"/>
    <w:rsid w:val="002371BF"/>
    <w:rsid w:val="00237A87"/>
    <w:rsid w:val="002404C3"/>
    <w:rsid w:val="00240C42"/>
    <w:rsid w:val="00241129"/>
    <w:rsid w:val="00241840"/>
    <w:rsid w:val="00241C36"/>
    <w:rsid w:val="002427EB"/>
    <w:rsid w:val="002427F0"/>
    <w:rsid w:val="002428BD"/>
    <w:rsid w:val="00242E09"/>
    <w:rsid w:val="00243214"/>
    <w:rsid w:val="002432B7"/>
    <w:rsid w:val="002440B2"/>
    <w:rsid w:val="002458CE"/>
    <w:rsid w:val="00245FBA"/>
    <w:rsid w:val="00246513"/>
    <w:rsid w:val="00246B1D"/>
    <w:rsid w:val="00247439"/>
    <w:rsid w:val="00247BDE"/>
    <w:rsid w:val="0025009E"/>
    <w:rsid w:val="002507C4"/>
    <w:rsid w:val="00250B11"/>
    <w:rsid w:val="00251518"/>
    <w:rsid w:val="00251EB3"/>
    <w:rsid w:val="00252473"/>
    <w:rsid w:val="00253254"/>
    <w:rsid w:val="0025329B"/>
    <w:rsid w:val="002538BA"/>
    <w:rsid w:val="00253EC4"/>
    <w:rsid w:val="0025418A"/>
    <w:rsid w:val="00254240"/>
    <w:rsid w:val="00255BC2"/>
    <w:rsid w:val="00256539"/>
    <w:rsid w:val="00256D0C"/>
    <w:rsid w:val="00256DEA"/>
    <w:rsid w:val="00257C49"/>
    <w:rsid w:val="0026072F"/>
    <w:rsid w:val="00260952"/>
    <w:rsid w:val="00261192"/>
    <w:rsid w:val="00261A11"/>
    <w:rsid w:val="00261CB5"/>
    <w:rsid w:val="002625F2"/>
    <w:rsid w:val="00263413"/>
    <w:rsid w:val="0026431A"/>
    <w:rsid w:val="002644A4"/>
    <w:rsid w:val="0026452D"/>
    <w:rsid w:val="00265066"/>
    <w:rsid w:val="00265C93"/>
    <w:rsid w:val="00266300"/>
    <w:rsid w:val="002674BA"/>
    <w:rsid w:val="00270E35"/>
    <w:rsid w:val="00271150"/>
    <w:rsid w:val="00274025"/>
    <w:rsid w:val="00274041"/>
    <w:rsid w:val="002747CC"/>
    <w:rsid w:val="00274830"/>
    <w:rsid w:val="00274A77"/>
    <w:rsid w:val="00274DF9"/>
    <w:rsid w:val="00275170"/>
    <w:rsid w:val="00275D77"/>
    <w:rsid w:val="002775AA"/>
    <w:rsid w:val="002778F2"/>
    <w:rsid w:val="00277F52"/>
    <w:rsid w:val="002809A3"/>
    <w:rsid w:val="00281979"/>
    <w:rsid w:val="00281E85"/>
    <w:rsid w:val="002837F8"/>
    <w:rsid w:val="00283ACF"/>
    <w:rsid w:val="00283C99"/>
    <w:rsid w:val="0028473D"/>
    <w:rsid w:val="00284850"/>
    <w:rsid w:val="00284AC7"/>
    <w:rsid w:val="00284D22"/>
    <w:rsid w:val="00284EAF"/>
    <w:rsid w:val="00285326"/>
    <w:rsid w:val="00285DE8"/>
    <w:rsid w:val="00290891"/>
    <w:rsid w:val="00291DA9"/>
    <w:rsid w:val="00292097"/>
    <w:rsid w:val="00292773"/>
    <w:rsid w:val="002927AC"/>
    <w:rsid w:val="0029469F"/>
    <w:rsid w:val="00294704"/>
    <w:rsid w:val="00294C20"/>
    <w:rsid w:val="00295405"/>
    <w:rsid w:val="002954FB"/>
    <w:rsid w:val="0029618D"/>
    <w:rsid w:val="002965BA"/>
    <w:rsid w:val="00296814"/>
    <w:rsid w:val="00296FE0"/>
    <w:rsid w:val="0029716C"/>
    <w:rsid w:val="002A0DD4"/>
    <w:rsid w:val="002A2537"/>
    <w:rsid w:val="002A2AB8"/>
    <w:rsid w:val="002A2B8E"/>
    <w:rsid w:val="002A2FD5"/>
    <w:rsid w:val="002A30B3"/>
    <w:rsid w:val="002A413D"/>
    <w:rsid w:val="002A5126"/>
    <w:rsid w:val="002A5948"/>
    <w:rsid w:val="002A64F2"/>
    <w:rsid w:val="002A6590"/>
    <w:rsid w:val="002A7478"/>
    <w:rsid w:val="002A7B26"/>
    <w:rsid w:val="002B01AD"/>
    <w:rsid w:val="002B047F"/>
    <w:rsid w:val="002B2D78"/>
    <w:rsid w:val="002B32C9"/>
    <w:rsid w:val="002B3736"/>
    <w:rsid w:val="002B389E"/>
    <w:rsid w:val="002B4054"/>
    <w:rsid w:val="002B46FF"/>
    <w:rsid w:val="002B497D"/>
    <w:rsid w:val="002B4D0E"/>
    <w:rsid w:val="002B542A"/>
    <w:rsid w:val="002B5495"/>
    <w:rsid w:val="002B54C5"/>
    <w:rsid w:val="002B55E5"/>
    <w:rsid w:val="002B60D3"/>
    <w:rsid w:val="002B6476"/>
    <w:rsid w:val="002B653E"/>
    <w:rsid w:val="002B6703"/>
    <w:rsid w:val="002B6D69"/>
    <w:rsid w:val="002B6F67"/>
    <w:rsid w:val="002B7411"/>
    <w:rsid w:val="002B7F0B"/>
    <w:rsid w:val="002B7F1B"/>
    <w:rsid w:val="002C0083"/>
    <w:rsid w:val="002C032E"/>
    <w:rsid w:val="002C0788"/>
    <w:rsid w:val="002C081A"/>
    <w:rsid w:val="002C108A"/>
    <w:rsid w:val="002C1553"/>
    <w:rsid w:val="002C2CCD"/>
    <w:rsid w:val="002C2F7F"/>
    <w:rsid w:val="002C2FB4"/>
    <w:rsid w:val="002C2FD3"/>
    <w:rsid w:val="002C30A3"/>
    <w:rsid w:val="002C3337"/>
    <w:rsid w:val="002C3683"/>
    <w:rsid w:val="002C369F"/>
    <w:rsid w:val="002C3A79"/>
    <w:rsid w:val="002C3BA9"/>
    <w:rsid w:val="002C6684"/>
    <w:rsid w:val="002C6840"/>
    <w:rsid w:val="002C6DC2"/>
    <w:rsid w:val="002C6DDA"/>
    <w:rsid w:val="002C713E"/>
    <w:rsid w:val="002D0530"/>
    <w:rsid w:val="002D053D"/>
    <w:rsid w:val="002D0B99"/>
    <w:rsid w:val="002D1936"/>
    <w:rsid w:val="002D1CE8"/>
    <w:rsid w:val="002D2FB2"/>
    <w:rsid w:val="002D3782"/>
    <w:rsid w:val="002D3CE3"/>
    <w:rsid w:val="002D48E6"/>
    <w:rsid w:val="002D4DBC"/>
    <w:rsid w:val="002D5B16"/>
    <w:rsid w:val="002D769A"/>
    <w:rsid w:val="002D7789"/>
    <w:rsid w:val="002D77B7"/>
    <w:rsid w:val="002D7CC4"/>
    <w:rsid w:val="002D7DBC"/>
    <w:rsid w:val="002E0C21"/>
    <w:rsid w:val="002E0FA4"/>
    <w:rsid w:val="002E192A"/>
    <w:rsid w:val="002E2471"/>
    <w:rsid w:val="002E2B84"/>
    <w:rsid w:val="002E300A"/>
    <w:rsid w:val="002E30AC"/>
    <w:rsid w:val="002E3543"/>
    <w:rsid w:val="002E3B82"/>
    <w:rsid w:val="002E3C6A"/>
    <w:rsid w:val="002E3C95"/>
    <w:rsid w:val="002E40D7"/>
    <w:rsid w:val="002E4BB3"/>
    <w:rsid w:val="002E5518"/>
    <w:rsid w:val="002E5F0D"/>
    <w:rsid w:val="002E67C6"/>
    <w:rsid w:val="002E6EE7"/>
    <w:rsid w:val="002F0C6B"/>
    <w:rsid w:val="002F1A12"/>
    <w:rsid w:val="002F1CD0"/>
    <w:rsid w:val="002F1D5C"/>
    <w:rsid w:val="002F207F"/>
    <w:rsid w:val="002F24AF"/>
    <w:rsid w:val="002F3259"/>
    <w:rsid w:val="002F32ED"/>
    <w:rsid w:val="002F3799"/>
    <w:rsid w:val="002F43B6"/>
    <w:rsid w:val="002F49F9"/>
    <w:rsid w:val="002F4E60"/>
    <w:rsid w:val="002F515D"/>
    <w:rsid w:val="002F594A"/>
    <w:rsid w:val="002F6673"/>
    <w:rsid w:val="002F66DB"/>
    <w:rsid w:val="002F689E"/>
    <w:rsid w:val="002F7EB8"/>
    <w:rsid w:val="0030086D"/>
    <w:rsid w:val="00300D86"/>
    <w:rsid w:val="003017E1"/>
    <w:rsid w:val="00302F6A"/>
    <w:rsid w:val="00303B54"/>
    <w:rsid w:val="003040C0"/>
    <w:rsid w:val="00305CC7"/>
    <w:rsid w:val="00305F62"/>
    <w:rsid w:val="0030688B"/>
    <w:rsid w:val="00306AB8"/>
    <w:rsid w:val="003074FD"/>
    <w:rsid w:val="00307A2D"/>
    <w:rsid w:val="00310204"/>
    <w:rsid w:val="00310272"/>
    <w:rsid w:val="0031058E"/>
    <w:rsid w:val="00310D86"/>
    <w:rsid w:val="00310F34"/>
    <w:rsid w:val="00311FD9"/>
    <w:rsid w:val="00312AF6"/>
    <w:rsid w:val="00312CB7"/>
    <w:rsid w:val="00312E68"/>
    <w:rsid w:val="003130AB"/>
    <w:rsid w:val="0031351A"/>
    <w:rsid w:val="003161E5"/>
    <w:rsid w:val="00316C18"/>
    <w:rsid w:val="00317071"/>
    <w:rsid w:val="003170F2"/>
    <w:rsid w:val="0032028C"/>
    <w:rsid w:val="003204DA"/>
    <w:rsid w:val="00320582"/>
    <w:rsid w:val="003206BE"/>
    <w:rsid w:val="00321282"/>
    <w:rsid w:val="0032130E"/>
    <w:rsid w:val="0032187E"/>
    <w:rsid w:val="003218EA"/>
    <w:rsid w:val="00321F93"/>
    <w:rsid w:val="003223D4"/>
    <w:rsid w:val="0032278A"/>
    <w:rsid w:val="0032279E"/>
    <w:rsid w:val="00322A25"/>
    <w:rsid w:val="0032318E"/>
    <w:rsid w:val="0032373F"/>
    <w:rsid w:val="00324A14"/>
    <w:rsid w:val="00325332"/>
    <w:rsid w:val="00325668"/>
    <w:rsid w:val="00326266"/>
    <w:rsid w:val="003262AB"/>
    <w:rsid w:val="0032659C"/>
    <w:rsid w:val="00327292"/>
    <w:rsid w:val="003272FD"/>
    <w:rsid w:val="0032744E"/>
    <w:rsid w:val="00327480"/>
    <w:rsid w:val="00327554"/>
    <w:rsid w:val="00330A37"/>
    <w:rsid w:val="00330B81"/>
    <w:rsid w:val="00332EBA"/>
    <w:rsid w:val="00333551"/>
    <w:rsid w:val="00333A15"/>
    <w:rsid w:val="00333A67"/>
    <w:rsid w:val="00333A6D"/>
    <w:rsid w:val="00333F1D"/>
    <w:rsid w:val="00335776"/>
    <w:rsid w:val="00336075"/>
    <w:rsid w:val="00336AA6"/>
    <w:rsid w:val="0033731A"/>
    <w:rsid w:val="003374B9"/>
    <w:rsid w:val="003375AB"/>
    <w:rsid w:val="003378B1"/>
    <w:rsid w:val="003408E2"/>
    <w:rsid w:val="003415A2"/>
    <w:rsid w:val="003419D5"/>
    <w:rsid w:val="0034312D"/>
    <w:rsid w:val="0034330F"/>
    <w:rsid w:val="00343669"/>
    <w:rsid w:val="00343C67"/>
    <w:rsid w:val="0034413A"/>
    <w:rsid w:val="00344BA3"/>
    <w:rsid w:val="00344BDC"/>
    <w:rsid w:val="00344D5E"/>
    <w:rsid w:val="00345475"/>
    <w:rsid w:val="00346AE5"/>
    <w:rsid w:val="00346C56"/>
    <w:rsid w:val="00347782"/>
    <w:rsid w:val="00347D51"/>
    <w:rsid w:val="00347E11"/>
    <w:rsid w:val="00350268"/>
    <w:rsid w:val="00350594"/>
    <w:rsid w:val="003511D2"/>
    <w:rsid w:val="003518DC"/>
    <w:rsid w:val="00352523"/>
    <w:rsid w:val="00352542"/>
    <w:rsid w:val="00352E7B"/>
    <w:rsid w:val="0035326A"/>
    <w:rsid w:val="0035327A"/>
    <w:rsid w:val="003534CB"/>
    <w:rsid w:val="00353FC5"/>
    <w:rsid w:val="00354407"/>
    <w:rsid w:val="00354730"/>
    <w:rsid w:val="003547FD"/>
    <w:rsid w:val="0035516A"/>
    <w:rsid w:val="003555CF"/>
    <w:rsid w:val="003557E1"/>
    <w:rsid w:val="00355B59"/>
    <w:rsid w:val="0035620E"/>
    <w:rsid w:val="003564B6"/>
    <w:rsid w:val="0035669E"/>
    <w:rsid w:val="003574FA"/>
    <w:rsid w:val="00357518"/>
    <w:rsid w:val="0035773F"/>
    <w:rsid w:val="00357C05"/>
    <w:rsid w:val="00357DE5"/>
    <w:rsid w:val="0036071E"/>
    <w:rsid w:val="00360B3F"/>
    <w:rsid w:val="00360B9B"/>
    <w:rsid w:val="00360E9D"/>
    <w:rsid w:val="0036394D"/>
    <w:rsid w:val="00363B12"/>
    <w:rsid w:val="0036423C"/>
    <w:rsid w:val="003648BB"/>
    <w:rsid w:val="00364B4C"/>
    <w:rsid w:val="00364B96"/>
    <w:rsid w:val="00364C38"/>
    <w:rsid w:val="00364D59"/>
    <w:rsid w:val="003654BE"/>
    <w:rsid w:val="003654DD"/>
    <w:rsid w:val="00365D2E"/>
    <w:rsid w:val="00365DBB"/>
    <w:rsid w:val="003673E6"/>
    <w:rsid w:val="003675F0"/>
    <w:rsid w:val="00367A90"/>
    <w:rsid w:val="003703EC"/>
    <w:rsid w:val="00370963"/>
    <w:rsid w:val="00371009"/>
    <w:rsid w:val="00371BC4"/>
    <w:rsid w:val="003722E8"/>
    <w:rsid w:val="00372733"/>
    <w:rsid w:val="0037280D"/>
    <w:rsid w:val="003728E1"/>
    <w:rsid w:val="00372C4C"/>
    <w:rsid w:val="00373B9D"/>
    <w:rsid w:val="003745D0"/>
    <w:rsid w:val="00374EA0"/>
    <w:rsid w:val="00375B8A"/>
    <w:rsid w:val="00375E04"/>
    <w:rsid w:val="0037642E"/>
    <w:rsid w:val="00376D72"/>
    <w:rsid w:val="00376E4B"/>
    <w:rsid w:val="00377897"/>
    <w:rsid w:val="00377D45"/>
    <w:rsid w:val="003801DC"/>
    <w:rsid w:val="00380E15"/>
    <w:rsid w:val="00380E43"/>
    <w:rsid w:val="00380F51"/>
    <w:rsid w:val="00381993"/>
    <w:rsid w:val="00381B3A"/>
    <w:rsid w:val="00381F75"/>
    <w:rsid w:val="0038248C"/>
    <w:rsid w:val="0038294D"/>
    <w:rsid w:val="00383E24"/>
    <w:rsid w:val="00383F00"/>
    <w:rsid w:val="00384837"/>
    <w:rsid w:val="003856C6"/>
    <w:rsid w:val="00385E50"/>
    <w:rsid w:val="0038685F"/>
    <w:rsid w:val="00386B43"/>
    <w:rsid w:val="00386CBA"/>
    <w:rsid w:val="00386FC4"/>
    <w:rsid w:val="00391901"/>
    <w:rsid w:val="00391AC1"/>
    <w:rsid w:val="00391B2B"/>
    <w:rsid w:val="003923E6"/>
    <w:rsid w:val="00393FE9"/>
    <w:rsid w:val="0039476B"/>
    <w:rsid w:val="00396113"/>
    <w:rsid w:val="0039618A"/>
    <w:rsid w:val="00396F26"/>
    <w:rsid w:val="003973FD"/>
    <w:rsid w:val="00397413"/>
    <w:rsid w:val="003976E4"/>
    <w:rsid w:val="00397E21"/>
    <w:rsid w:val="00397FDC"/>
    <w:rsid w:val="003A04AE"/>
    <w:rsid w:val="003A0667"/>
    <w:rsid w:val="003A19D6"/>
    <w:rsid w:val="003A22AE"/>
    <w:rsid w:val="003A2D4E"/>
    <w:rsid w:val="003A3116"/>
    <w:rsid w:val="003A3999"/>
    <w:rsid w:val="003A3B99"/>
    <w:rsid w:val="003A4462"/>
    <w:rsid w:val="003A4663"/>
    <w:rsid w:val="003A4BFF"/>
    <w:rsid w:val="003A4F4E"/>
    <w:rsid w:val="003A5D90"/>
    <w:rsid w:val="003A62DA"/>
    <w:rsid w:val="003A6967"/>
    <w:rsid w:val="003A7B14"/>
    <w:rsid w:val="003A7B7B"/>
    <w:rsid w:val="003A7D2A"/>
    <w:rsid w:val="003A7D38"/>
    <w:rsid w:val="003B08CD"/>
    <w:rsid w:val="003B14FD"/>
    <w:rsid w:val="003B2427"/>
    <w:rsid w:val="003B2D7D"/>
    <w:rsid w:val="003B3E12"/>
    <w:rsid w:val="003B4696"/>
    <w:rsid w:val="003B4E65"/>
    <w:rsid w:val="003B4EB6"/>
    <w:rsid w:val="003B4FA6"/>
    <w:rsid w:val="003B6031"/>
    <w:rsid w:val="003B6E81"/>
    <w:rsid w:val="003B77E5"/>
    <w:rsid w:val="003B7E05"/>
    <w:rsid w:val="003C02B7"/>
    <w:rsid w:val="003C052A"/>
    <w:rsid w:val="003C131E"/>
    <w:rsid w:val="003C19A5"/>
    <w:rsid w:val="003C1C85"/>
    <w:rsid w:val="003C1F69"/>
    <w:rsid w:val="003C2450"/>
    <w:rsid w:val="003C2FEB"/>
    <w:rsid w:val="003C3A2A"/>
    <w:rsid w:val="003C3BB8"/>
    <w:rsid w:val="003C3E7F"/>
    <w:rsid w:val="003C4482"/>
    <w:rsid w:val="003C47C6"/>
    <w:rsid w:val="003C5260"/>
    <w:rsid w:val="003C612F"/>
    <w:rsid w:val="003C6468"/>
    <w:rsid w:val="003D0AF6"/>
    <w:rsid w:val="003D0BFD"/>
    <w:rsid w:val="003D11D9"/>
    <w:rsid w:val="003D1E5A"/>
    <w:rsid w:val="003D3990"/>
    <w:rsid w:val="003D42B5"/>
    <w:rsid w:val="003D42CB"/>
    <w:rsid w:val="003D43E2"/>
    <w:rsid w:val="003D4B62"/>
    <w:rsid w:val="003D4E9A"/>
    <w:rsid w:val="003D51F4"/>
    <w:rsid w:val="003D5811"/>
    <w:rsid w:val="003D58C5"/>
    <w:rsid w:val="003D5C4A"/>
    <w:rsid w:val="003D6638"/>
    <w:rsid w:val="003D7786"/>
    <w:rsid w:val="003D7FC4"/>
    <w:rsid w:val="003E0354"/>
    <w:rsid w:val="003E08DC"/>
    <w:rsid w:val="003E1248"/>
    <w:rsid w:val="003E184A"/>
    <w:rsid w:val="003E1887"/>
    <w:rsid w:val="003E18C9"/>
    <w:rsid w:val="003E19E2"/>
    <w:rsid w:val="003E2538"/>
    <w:rsid w:val="003E278F"/>
    <w:rsid w:val="003E2E55"/>
    <w:rsid w:val="003E3370"/>
    <w:rsid w:val="003E4296"/>
    <w:rsid w:val="003E43C8"/>
    <w:rsid w:val="003E4B5F"/>
    <w:rsid w:val="003E530F"/>
    <w:rsid w:val="003E5A33"/>
    <w:rsid w:val="003E65FD"/>
    <w:rsid w:val="003E69CF"/>
    <w:rsid w:val="003E6DA0"/>
    <w:rsid w:val="003E72DA"/>
    <w:rsid w:val="003F02A3"/>
    <w:rsid w:val="003F031C"/>
    <w:rsid w:val="003F0912"/>
    <w:rsid w:val="003F1622"/>
    <w:rsid w:val="003F1AA3"/>
    <w:rsid w:val="003F25EF"/>
    <w:rsid w:val="003F3277"/>
    <w:rsid w:val="003F4C79"/>
    <w:rsid w:val="003F4E06"/>
    <w:rsid w:val="003F4FF2"/>
    <w:rsid w:val="003F562C"/>
    <w:rsid w:val="003F5E3F"/>
    <w:rsid w:val="003F6463"/>
    <w:rsid w:val="003F67CB"/>
    <w:rsid w:val="003F6A4A"/>
    <w:rsid w:val="003F759C"/>
    <w:rsid w:val="00401CD0"/>
    <w:rsid w:val="00402608"/>
    <w:rsid w:val="00402A5A"/>
    <w:rsid w:val="00403542"/>
    <w:rsid w:val="00403A15"/>
    <w:rsid w:val="00404785"/>
    <w:rsid w:val="00405461"/>
    <w:rsid w:val="00405477"/>
    <w:rsid w:val="0040566B"/>
    <w:rsid w:val="004067F1"/>
    <w:rsid w:val="00406C91"/>
    <w:rsid w:val="00410441"/>
    <w:rsid w:val="0041078F"/>
    <w:rsid w:val="00410B78"/>
    <w:rsid w:val="00410ED9"/>
    <w:rsid w:val="0041102C"/>
    <w:rsid w:val="00411154"/>
    <w:rsid w:val="00411389"/>
    <w:rsid w:val="004125D1"/>
    <w:rsid w:val="00412BDE"/>
    <w:rsid w:val="004146E5"/>
    <w:rsid w:val="00414DE0"/>
    <w:rsid w:val="004150FE"/>
    <w:rsid w:val="0041522E"/>
    <w:rsid w:val="004158A0"/>
    <w:rsid w:val="00415D69"/>
    <w:rsid w:val="00415FAD"/>
    <w:rsid w:val="0041619C"/>
    <w:rsid w:val="00416E51"/>
    <w:rsid w:val="0041747C"/>
    <w:rsid w:val="00417701"/>
    <w:rsid w:val="00417C68"/>
    <w:rsid w:val="00417D7A"/>
    <w:rsid w:val="004203AA"/>
    <w:rsid w:val="00420ABF"/>
    <w:rsid w:val="00420BA6"/>
    <w:rsid w:val="0042121D"/>
    <w:rsid w:val="0042181C"/>
    <w:rsid w:val="00422508"/>
    <w:rsid w:val="0042267A"/>
    <w:rsid w:val="00422C59"/>
    <w:rsid w:val="00422CFC"/>
    <w:rsid w:val="00423B44"/>
    <w:rsid w:val="0042412E"/>
    <w:rsid w:val="0042472D"/>
    <w:rsid w:val="00424995"/>
    <w:rsid w:val="0042505E"/>
    <w:rsid w:val="004257A7"/>
    <w:rsid w:val="00425EF9"/>
    <w:rsid w:val="004305C5"/>
    <w:rsid w:val="00430686"/>
    <w:rsid w:val="00430FEF"/>
    <w:rsid w:val="004318F9"/>
    <w:rsid w:val="00432859"/>
    <w:rsid w:val="00432B9E"/>
    <w:rsid w:val="004336BA"/>
    <w:rsid w:val="004342CB"/>
    <w:rsid w:val="00434374"/>
    <w:rsid w:val="0043448E"/>
    <w:rsid w:val="00435197"/>
    <w:rsid w:val="004358F0"/>
    <w:rsid w:val="0043678E"/>
    <w:rsid w:val="00437B57"/>
    <w:rsid w:val="00437F88"/>
    <w:rsid w:val="00440CFD"/>
    <w:rsid w:val="004410BC"/>
    <w:rsid w:val="00441164"/>
    <w:rsid w:val="004414D3"/>
    <w:rsid w:val="0044161D"/>
    <w:rsid w:val="00441A6C"/>
    <w:rsid w:val="004420F9"/>
    <w:rsid w:val="004435D7"/>
    <w:rsid w:val="00443C09"/>
    <w:rsid w:val="00444188"/>
    <w:rsid w:val="00444473"/>
    <w:rsid w:val="0044482D"/>
    <w:rsid w:val="00444927"/>
    <w:rsid w:val="00444A0E"/>
    <w:rsid w:val="00444FEA"/>
    <w:rsid w:val="00445837"/>
    <w:rsid w:val="004458AB"/>
    <w:rsid w:val="00445C9F"/>
    <w:rsid w:val="00446D64"/>
    <w:rsid w:val="00447C52"/>
    <w:rsid w:val="004503A1"/>
    <w:rsid w:val="00450674"/>
    <w:rsid w:val="0045201A"/>
    <w:rsid w:val="00453DB3"/>
    <w:rsid w:val="00454B8F"/>
    <w:rsid w:val="00454C20"/>
    <w:rsid w:val="004558FA"/>
    <w:rsid w:val="00455CAE"/>
    <w:rsid w:val="00455E9B"/>
    <w:rsid w:val="0045683D"/>
    <w:rsid w:val="00456D15"/>
    <w:rsid w:val="004578E3"/>
    <w:rsid w:val="004602D4"/>
    <w:rsid w:val="00460A4B"/>
    <w:rsid w:val="00461252"/>
    <w:rsid w:val="0046159B"/>
    <w:rsid w:val="00461A84"/>
    <w:rsid w:val="00461EAE"/>
    <w:rsid w:val="00462286"/>
    <w:rsid w:val="00462F25"/>
    <w:rsid w:val="004631A1"/>
    <w:rsid w:val="0046330C"/>
    <w:rsid w:val="00463717"/>
    <w:rsid w:val="00463754"/>
    <w:rsid w:val="004637CD"/>
    <w:rsid w:val="004653AD"/>
    <w:rsid w:val="00465498"/>
    <w:rsid w:val="00465A3C"/>
    <w:rsid w:val="00465DF9"/>
    <w:rsid w:val="00465F55"/>
    <w:rsid w:val="0046615C"/>
    <w:rsid w:val="00466742"/>
    <w:rsid w:val="00466AE4"/>
    <w:rsid w:val="0046756D"/>
    <w:rsid w:val="00467B68"/>
    <w:rsid w:val="00471361"/>
    <w:rsid w:val="00472834"/>
    <w:rsid w:val="00472ADA"/>
    <w:rsid w:val="00472AF9"/>
    <w:rsid w:val="00472E87"/>
    <w:rsid w:val="004741E2"/>
    <w:rsid w:val="00474322"/>
    <w:rsid w:val="00474620"/>
    <w:rsid w:val="00474FAF"/>
    <w:rsid w:val="0047548C"/>
    <w:rsid w:val="00475B81"/>
    <w:rsid w:val="00476085"/>
    <w:rsid w:val="00476446"/>
    <w:rsid w:val="00477925"/>
    <w:rsid w:val="004779AB"/>
    <w:rsid w:val="00477FA2"/>
    <w:rsid w:val="004801BA"/>
    <w:rsid w:val="0048028B"/>
    <w:rsid w:val="00481C87"/>
    <w:rsid w:val="00482785"/>
    <w:rsid w:val="004828B4"/>
    <w:rsid w:val="00482F94"/>
    <w:rsid w:val="004840B7"/>
    <w:rsid w:val="00485352"/>
    <w:rsid w:val="0048639E"/>
    <w:rsid w:val="004876C2"/>
    <w:rsid w:val="004878B6"/>
    <w:rsid w:val="00490831"/>
    <w:rsid w:val="00491095"/>
    <w:rsid w:val="00491554"/>
    <w:rsid w:val="004918B1"/>
    <w:rsid w:val="00492C56"/>
    <w:rsid w:val="00492F1A"/>
    <w:rsid w:val="00493782"/>
    <w:rsid w:val="00493CF5"/>
    <w:rsid w:val="00493D4F"/>
    <w:rsid w:val="00493E2D"/>
    <w:rsid w:val="00494B2E"/>
    <w:rsid w:val="004952A2"/>
    <w:rsid w:val="0049590C"/>
    <w:rsid w:val="00495D9A"/>
    <w:rsid w:val="004966E0"/>
    <w:rsid w:val="0049688D"/>
    <w:rsid w:val="004A00D5"/>
    <w:rsid w:val="004A0ECC"/>
    <w:rsid w:val="004A1246"/>
    <w:rsid w:val="004A1416"/>
    <w:rsid w:val="004A17FA"/>
    <w:rsid w:val="004A25D9"/>
    <w:rsid w:val="004A2B26"/>
    <w:rsid w:val="004A3F18"/>
    <w:rsid w:val="004A4606"/>
    <w:rsid w:val="004A4D06"/>
    <w:rsid w:val="004A4FC8"/>
    <w:rsid w:val="004A5232"/>
    <w:rsid w:val="004A53D2"/>
    <w:rsid w:val="004A59C2"/>
    <w:rsid w:val="004A76F0"/>
    <w:rsid w:val="004B0A5F"/>
    <w:rsid w:val="004B11AD"/>
    <w:rsid w:val="004B15CE"/>
    <w:rsid w:val="004B2630"/>
    <w:rsid w:val="004B4636"/>
    <w:rsid w:val="004B495E"/>
    <w:rsid w:val="004B51A3"/>
    <w:rsid w:val="004B534E"/>
    <w:rsid w:val="004B59CB"/>
    <w:rsid w:val="004B6901"/>
    <w:rsid w:val="004B6F05"/>
    <w:rsid w:val="004B7582"/>
    <w:rsid w:val="004B7977"/>
    <w:rsid w:val="004C0712"/>
    <w:rsid w:val="004C08EA"/>
    <w:rsid w:val="004C09C3"/>
    <w:rsid w:val="004C0F0D"/>
    <w:rsid w:val="004C1838"/>
    <w:rsid w:val="004C1CE3"/>
    <w:rsid w:val="004C380C"/>
    <w:rsid w:val="004C3FD7"/>
    <w:rsid w:val="004C4B3E"/>
    <w:rsid w:val="004C57C6"/>
    <w:rsid w:val="004C5AA1"/>
    <w:rsid w:val="004C600D"/>
    <w:rsid w:val="004C6374"/>
    <w:rsid w:val="004C64D0"/>
    <w:rsid w:val="004C683A"/>
    <w:rsid w:val="004C6B4F"/>
    <w:rsid w:val="004C6D63"/>
    <w:rsid w:val="004C6DF5"/>
    <w:rsid w:val="004C79D9"/>
    <w:rsid w:val="004D118D"/>
    <w:rsid w:val="004D200F"/>
    <w:rsid w:val="004D25E2"/>
    <w:rsid w:val="004D3A17"/>
    <w:rsid w:val="004D4AC2"/>
    <w:rsid w:val="004D5038"/>
    <w:rsid w:val="004D5723"/>
    <w:rsid w:val="004D5EBD"/>
    <w:rsid w:val="004D6314"/>
    <w:rsid w:val="004D645B"/>
    <w:rsid w:val="004D6A67"/>
    <w:rsid w:val="004D7171"/>
    <w:rsid w:val="004D7312"/>
    <w:rsid w:val="004D7420"/>
    <w:rsid w:val="004D79DD"/>
    <w:rsid w:val="004E054D"/>
    <w:rsid w:val="004E07DA"/>
    <w:rsid w:val="004E0B98"/>
    <w:rsid w:val="004E1454"/>
    <w:rsid w:val="004E1F07"/>
    <w:rsid w:val="004E234B"/>
    <w:rsid w:val="004E2921"/>
    <w:rsid w:val="004E2BC5"/>
    <w:rsid w:val="004E305F"/>
    <w:rsid w:val="004E3C85"/>
    <w:rsid w:val="004E3FB6"/>
    <w:rsid w:val="004E41AF"/>
    <w:rsid w:val="004E4277"/>
    <w:rsid w:val="004E4F95"/>
    <w:rsid w:val="004E53FC"/>
    <w:rsid w:val="004E578F"/>
    <w:rsid w:val="004E5A30"/>
    <w:rsid w:val="004E5CF5"/>
    <w:rsid w:val="004E7540"/>
    <w:rsid w:val="004E7FC0"/>
    <w:rsid w:val="004F05B8"/>
    <w:rsid w:val="004F0962"/>
    <w:rsid w:val="004F0F05"/>
    <w:rsid w:val="004F1A7E"/>
    <w:rsid w:val="004F2F35"/>
    <w:rsid w:val="004F3442"/>
    <w:rsid w:val="004F3B0D"/>
    <w:rsid w:val="004F3BE6"/>
    <w:rsid w:val="004F3D20"/>
    <w:rsid w:val="004F4978"/>
    <w:rsid w:val="004F4F47"/>
    <w:rsid w:val="004F5124"/>
    <w:rsid w:val="004F56ED"/>
    <w:rsid w:val="004F5D56"/>
    <w:rsid w:val="004F5FA0"/>
    <w:rsid w:val="004F6045"/>
    <w:rsid w:val="004F6147"/>
    <w:rsid w:val="004F614F"/>
    <w:rsid w:val="004F636C"/>
    <w:rsid w:val="004F69FE"/>
    <w:rsid w:val="004F752A"/>
    <w:rsid w:val="004F781C"/>
    <w:rsid w:val="004F7918"/>
    <w:rsid w:val="004F7DEC"/>
    <w:rsid w:val="0050084B"/>
    <w:rsid w:val="0050098F"/>
    <w:rsid w:val="00500CC6"/>
    <w:rsid w:val="0050145C"/>
    <w:rsid w:val="00501507"/>
    <w:rsid w:val="005029F5"/>
    <w:rsid w:val="00503797"/>
    <w:rsid w:val="0050398F"/>
    <w:rsid w:val="00503F6D"/>
    <w:rsid w:val="005042A5"/>
    <w:rsid w:val="00504FA6"/>
    <w:rsid w:val="005058F0"/>
    <w:rsid w:val="00505B35"/>
    <w:rsid w:val="005064B5"/>
    <w:rsid w:val="005067EB"/>
    <w:rsid w:val="00506B64"/>
    <w:rsid w:val="005111E1"/>
    <w:rsid w:val="0051227C"/>
    <w:rsid w:val="0051254F"/>
    <w:rsid w:val="005130A1"/>
    <w:rsid w:val="00513E25"/>
    <w:rsid w:val="0051430B"/>
    <w:rsid w:val="005144B5"/>
    <w:rsid w:val="00514710"/>
    <w:rsid w:val="00514D31"/>
    <w:rsid w:val="005152F9"/>
    <w:rsid w:val="005162F1"/>
    <w:rsid w:val="00516603"/>
    <w:rsid w:val="005169DD"/>
    <w:rsid w:val="0051788F"/>
    <w:rsid w:val="00517F25"/>
    <w:rsid w:val="005209F7"/>
    <w:rsid w:val="005219BF"/>
    <w:rsid w:val="00521C86"/>
    <w:rsid w:val="0052249E"/>
    <w:rsid w:val="0052275F"/>
    <w:rsid w:val="00522FD1"/>
    <w:rsid w:val="005234BC"/>
    <w:rsid w:val="00523D53"/>
    <w:rsid w:val="00523F12"/>
    <w:rsid w:val="00523FCF"/>
    <w:rsid w:val="00524E5B"/>
    <w:rsid w:val="00525285"/>
    <w:rsid w:val="0052553B"/>
    <w:rsid w:val="00525A51"/>
    <w:rsid w:val="00525BBB"/>
    <w:rsid w:val="00526118"/>
    <w:rsid w:val="0052636C"/>
    <w:rsid w:val="005263EB"/>
    <w:rsid w:val="0052699C"/>
    <w:rsid w:val="0052700A"/>
    <w:rsid w:val="00527A5E"/>
    <w:rsid w:val="00527BA9"/>
    <w:rsid w:val="00530166"/>
    <w:rsid w:val="00530771"/>
    <w:rsid w:val="00530783"/>
    <w:rsid w:val="00530833"/>
    <w:rsid w:val="00530A18"/>
    <w:rsid w:val="00530A47"/>
    <w:rsid w:val="00530DE9"/>
    <w:rsid w:val="005320EA"/>
    <w:rsid w:val="005330E9"/>
    <w:rsid w:val="00534F92"/>
    <w:rsid w:val="0053625D"/>
    <w:rsid w:val="00536C47"/>
    <w:rsid w:val="00536F59"/>
    <w:rsid w:val="00537507"/>
    <w:rsid w:val="005378D9"/>
    <w:rsid w:val="00537A32"/>
    <w:rsid w:val="0054020B"/>
    <w:rsid w:val="005404C8"/>
    <w:rsid w:val="0054077E"/>
    <w:rsid w:val="00540889"/>
    <w:rsid w:val="00540997"/>
    <w:rsid w:val="00540BC3"/>
    <w:rsid w:val="005412F3"/>
    <w:rsid w:val="00541413"/>
    <w:rsid w:val="00541D7A"/>
    <w:rsid w:val="005431F0"/>
    <w:rsid w:val="005431FC"/>
    <w:rsid w:val="00544329"/>
    <w:rsid w:val="00544453"/>
    <w:rsid w:val="005446AA"/>
    <w:rsid w:val="00545CEB"/>
    <w:rsid w:val="005461C3"/>
    <w:rsid w:val="0054766B"/>
    <w:rsid w:val="00550AA6"/>
    <w:rsid w:val="005516BD"/>
    <w:rsid w:val="00552F3F"/>
    <w:rsid w:val="005530E3"/>
    <w:rsid w:val="00553457"/>
    <w:rsid w:val="005539EC"/>
    <w:rsid w:val="00553A0B"/>
    <w:rsid w:val="00554607"/>
    <w:rsid w:val="00554627"/>
    <w:rsid w:val="005547FF"/>
    <w:rsid w:val="00555E12"/>
    <w:rsid w:val="005563C9"/>
    <w:rsid w:val="005574F9"/>
    <w:rsid w:val="00560031"/>
    <w:rsid w:val="00560624"/>
    <w:rsid w:val="00560C38"/>
    <w:rsid w:val="00560DE2"/>
    <w:rsid w:val="00560FAC"/>
    <w:rsid w:val="005612D4"/>
    <w:rsid w:val="005613A3"/>
    <w:rsid w:val="005613A7"/>
    <w:rsid w:val="005619B7"/>
    <w:rsid w:val="00561A59"/>
    <w:rsid w:val="00561C1C"/>
    <w:rsid w:val="00562E3D"/>
    <w:rsid w:val="00563ADB"/>
    <w:rsid w:val="00563BCC"/>
    <w:rsid w:val="00563F75"/>
    <w:rsid w:val="005640EB"/>
    <w:rsid w:val="00565514"/>
    <w:rsid w:val="00565A6B"/>
    <w:rsid w:val="00565D96"/>
    <w:rsid w:val="00565DB8"/>
    <w:rsid w:val="00566845"/>
    <w:rsid w:val="00570584"/>
    <w:rsid w:val="0057070F"/>
    <w:rsid w:val="00570D25"/>
    <w:rsid w:val="005712D6"/>
    <w:rsid w:val="00571548"/>
    <w:rsid w:val="00571812"/>
    <w:rsid w:val="00571DCD"/>
    <w:rsid w:val="0057218C"/>
    <w:rsid w:val="00572C81"/>
    <w:rsid w:val="00572E70"/>
    <w:rsid w:val="00573369"/>
    <w:rsid w:val="00573C20"/>
    <w:rsid w:val="0057418A"/>
    <w:rsid w:val="00574923"/>
    <w:rsid w:val="00574D59"/>
    <w:rsid w:val="00575ACD"/>
    <w:rsid w:val="00575C24"/>
    <w:rsid w:val="00576226"/>
    <w:rsid w:val="005762EA"/>
    <w:rsid w:val="005767AE"/>
    <w:rsid w:val="005774A1"/>
    <w:rsid w:val="00580390"/>
    <w:rsid w:val="005817B2"/>
    <w:rsid w:val="005819F7"/>
    <w:rsid w:val="00581C35"/>
    <w:rsid w:val="005824C6"/>
    <w:rsid w:val="00582674"/>
    <w:rsid w:val="0058271E"/>
    <w:rsid w:val="00582761"/>
    <w:rsid w:val="0058283F"/>
    <w:rsid w:val="00583930"/>
    <w:rsid w:val="00583BFE"/>
    <w:rsid w:val="00583D8A"/>
    <w:rsid w:val="005840EF"/>
    <w:rsid w:val="005845A3"/>
    <w:rsid w:val="005848F8"/>
    <w:rsid w:val="00584E2F"/>
    <w:rsid w:val="00585151"/>
    <w:rsid w:val="00585193"/>
    <w:rsid w:val="0058525B"/>
    <w:rsid w:val="00585C03"/>
    <w:rsid w:val="0058619F"/>
    <w:rsid w:val="00586637"/>
    <w:rsid w:val="005867CF"/>
    <w:rsid w:val="00586E8E"/>
    <w:rsid w:val="00587C46"/>
    <w:rsid w:val="00587F56"/>
    <w:rsid w:val="00587FD9"/>
    <w:rsid w:val="005908B9"/>
    <w:rsid w:val="00591265"/>
    <w:rsid w:val="00591283"/>
    <w:rsid w:val="005915A4"/>
    <w:rsid w:val="005916E4"/>
    <w:rsid w:val="005922F4"/>
    <w:rsid w:val="005924D3"/>
    <w:rsid w:val="005924F1"/>
    <w:rsid w:val="005925E3"/>
    <w:rsid w:val="00592F32"/>
    <w:rsid w:val="0059304D"/>
    <w:rsid w:val="005933AE"/>
    <w:rsid w:val="00594550"/>
    <w:rsid w:val="00595156"/>
    <w:rsid w:val="00596832"/>
    <w:rsid w:val="00596CCB"/>
    <w:rsid w:val="00596DB6"/>
    <w:rsid w:val="00597753"/>
    <w:rsid w:val="00597E6F"/>
    <w:rsid w:val="005A0203"/>
    <w:rsid w:val="005A052F"/>
    <w:rsid w:val="005A0EA6"/>
    <w:rsid w:val="005A0EFC"/>
    <w:rsid w:val="005A1018"/>
    <w:rsid w:val="005A1099"/>
    <w:rsid w:val="005A12EF"/>
    <w:rsid w:val="005A167F"/>
    <w:rsid w:val="005A1980"/>
    <w:rsid w:val="005A1A26"/>
    <w:rsid w:val="005A1C52"/>
    <w:rsid w:val="005A1F74"/>
    <w:rsid w:val="005A23D2"/>
    <w:rsid w:val="005A2593"/>
    <w:rsid w:val="005A3196"/>
    <w:rsid w:val="005A339E"/>
    <w:rsid w:val="005A408B"/>
    <w:rsid w:val="005A6BCA"/>
    <w:rsid w:val="005A6F80"/>
    <w:rsid w:val="005A7215"/>
    <w:rsid w:val="005A726F"/>
    <w:rsid w:val="005A72E6"/>
    <w:rsid w:val="005A782E"/>
    <w:rsid w:val="005A793B"/>
    <w:rsid w:val="005A79AE"/>
    <w:rsid w:val="005B1FD1"/>
    <w:rsid w:val="005B2054"/>
    <w:rsid w:val="005B2607"/>
    <w:rsid w:val="005B26FD"/>
    <w:rsid w:val="005B40A1"/>
    <w:rsid w:val="005B429E"/>
    <w:rsid w:val="005B44D0"/>
    <w:rsid w:val="005B4C41"/>
    <w:rsid w:val="005B4CD8"/>
    <w:rsid w:val="005B5179"/>
    <w:rsid w:val="005B5B11"/>
    <w:rsid w:val="005B60BD"/>
    <w:rsid w:val="005B6837"/>
    <w:rsid w:val="005B75BF"/>
    <w:rsid w:val="005B78D4"/>
    <w:rsid w:val="005B7BE6"/>
    <w:rsid w:val="005C0607"/>
    <w:rsid w:val="005C0A76"/>
    <w:rsid w:val="005C0F51"/>
    <w:rsid w:val="005C0F98"/>
    <w:rsid w:val="005C10AF"/>
    <w:rsid w:val="005C11E6"/>
    <w:rsid w:val="005C1F3B"/>
    <w:rsid w:val="005C208C"/>
    <w:rsid w:val="005C2E67"/>
    <w:rsid w:val="005C2E85"/>
    <w:rsid w:val="005C35ED"/>
    <w:rsid w:val="005C35FA"/>
    <w:rsid w:val="005C3CEA"/>
    <w:rsid w:val="005C48AC"/>
    <w:rsid w:val="005C4D24"/>
    <w:rsid w:val="005C4DD7"/>
    <w:rsid w:val="005C539A"/>
    <w:rsid w:val="005C549E"/>
    <w:rsid w:val="005C5CAB"/>
    <w:rsid w:val="005C6236"/>
    <w:rsid w:val="005C667F"/>
    <w:rsid w:val="005C778A"/>
    <w:rsid w:val="005C794A"/>
    <w:rsid w:val="005C7B1F"/>
    <w:rsid w:val="005C7C33"/>
    <w:rsid w:val="005D03CD"/>
    <w:rsid w:val="005D07BF"/>
    <w:rsid w:val="005D0923"/>
    <w:rsid w:val="005D12BF"/>
    <w:rsid w:val="005D14E9"/>
    <w:rsid w:val="005D1710"/>
    <w:rsid w:val="005D1B75"/>
    <w:rsid w:val="005D1C71"/>
    <w:rsid w:val="005D21A6"/>
    <w:rsid w:val="005D29D5"/>
    <w:rsid w:val="005D3E97"/>
    <w:rsid w:val="005D4095"/>
    <w:rsid w:val="005D4641"/>
    <w:rsid w:val="005D49FF"/>
    <w:rsid w:val="005D4D0A"/>
    <w:rsid w:val="005D5695"/>
    <w:rsid w:val="005D5F69"/>
    <w:rsid w:val="005D63D6"/>
    <w:rsid w:val="005D7ED3"/>
    <w:rsid w:val="005E0862"/>
    <w:rsid w:val="005E1375"/>
    <w:rsid w:val="005E147F"/>
    <w:rsid w:val="005E1CEB"/>
    <w:rsid w:val="005E218F"/>
    <w:rsid w:val="005E2A30"/>
    <w:rsid w:val="005E2FF1"/>
    <w:rsid w:val="005E3850"/>
    <w:rsid w:val="005E3DEF"/>
    <w:rsid w:val="005E4E97"/>
    <w:rsid w:val="005E5C65"/>
    <w:rsid w:val="005E5DFA"/>
    <w:rsid w:val="005E682E"/>
    <w:rsid w:val="005E6F86"/>
    <w:rsid w:val="005E7479"/>
    <w:rsid w:val="005E7892"/>
    <w:rsid w:val="005F0245"/>
    <w:rsid w:val="005F0652"/>
    <w:rsid w:val="005F07BE"/>
    <w:rsid w:val="005F1146"/>
    <w:rsid w:val="005F3CEA"/>
    <w:rsid w:val="005F4A97"/>
    <w:rsid w:val="005F4E85"/>
    <w:rsid w:val="005F546F"/>
    <w:rsid w:val="005F5479"/>
    <w:rsid w:val="005F5B32"/>
    <w:rsid w:val="005F5CD6"/>
    <w:rsid w:val="005F66DC"/>
    <w:rsid w:val="005F6D4B"/>
    <w:rsid w:val="005F731B"/>
    <w:rsid w:val="005F7D47"/>
    <w:rsid w:val="005F7E3B"/>
    <w:rsid w:val="0060009D"/>
    <w:rsid w:val="006002D9"/>
    <w:rsid w:val="0060130C"/>
    <w:rsid w:val="006013FB"/>
    <w:rsid w:val="00601F1A"/>
    <w:rsid w:val="00602746"/>
    <w:rsid w:val="0060294C"/>
    <w:rsid w:val="00603073"/>
    <w:rsid w:val="00603128"/>
    <w:rsid w:val="006036E2"/>
    <w:rsid w:val="006037C5"/>
    <w:rsid w:val="00604154"/>
    <w:rsid w:val="0060460E"/>
    <w:rsid w:val="00604F87"/>
    <w:rsid w:val="006052B9"/>
    <w:rsid w:val="00605607"/>
    <w:rsid w:val="00605E4D"/>
    <w:rsid w:val="00606050"/>
    <w:rsid w:val="00606458"/>
    <w:rsid w:val="00606CC5"/>
    <w:rsid w:val="00607141"/>
    <w:rsid w:val="00607B23"/>
    <w:rsid w:val="00611189"/>
    <w:rsid w:val="006125C5"/>
    <w:rsid w:val="006126C4"/>
    <w:rsid w:val="0061278B"/>
    <w:rsid w:val="00612EA9"/>
    <w:rsid w:val="006136B7"/>
    <w:rsid w:val="006144BB"/>
    <w:rsid w:val="00616900"/>
    <w:rsid w:val="00616ACC"/>
    <w:rsid w:val="00616B2A"/>
    <w:rsid w:val="0061744E"/>
    <w:rsid w:val="0061780F"/>
    <w:rsid w:val="0061799E"/>
    <w:rsid w:val="00617BBF"/>
    <w:rsid w:val="00617CDA"/>
    <w:rsid w:val="006204D9"/>
    <w:rsid w:val="006205AD"/>
    <w:rsid w:val="00621934"/>
    <w:rsid w:val="00622007"/>
    <w:rsid w:val="00622295"/>
    <w:rsid w:val="00622B34"/>
    <w:rsid w:val="00623836"/>
    <w:rsid w:val="00623D94"/>
    <w:rsid w:val="00623F1D"/>
    <w:rsid w:val="00624B58"/>
    <w:rsid w:val="00624D93"/>
    <w:rsid w:val="00624E2A"/>
    <w:rsid w:val="006251EF"/>
    <w:rsid w:val="006254B1"/>
    <w:rsid w:val="00630007"/>
    <w:rsid w:val="006305AE"/>
    <w:rsid w:val="00630940"/>
    <w:rsid w:val="00630B6A"/>
    <w:rsid w:val="006312F7"/>
    <w:rsid w:val="006320CB"/>
    <w:rsid w:val="0063262B"/>
    <w:rsid w:val="00632656"/>
    <w:rsid w:val="00632F67"/>
    <w:rsid w:val="00633FD3"/>
    <w:rsid w:val="00634285"/>
    <w:rsid w:val="006345ED"/>
    <w:rsid w:val="006345EE"/>
    <w:rsid w:val="00640005"/>
    <w:rsid w:val="006403E0"/>
    <w:rsid w:val="0064043A"/>
    <w:rsid w:val="0064099A"/>
    <w:rsid w:val="00641627"/>
    <w:rsid w:val="00641758"/>
    <w:rsid w:val="00641DF1"/>
    <w:rsid w:val="00641F32"/>
    <w:rsid w:val="00642B83"/>
    <w:rsid w:val="0064341D"/>
    <w:rsid w:val="00643C4B"/>
    <w:rsid w:val="00645164"/>
    <w:rsid w:val="006469A2"/>
    <w:rsid w:val="00646AB8"/>
    <w:rsid w:val="00646D0D"/>
    <w:rsid w:val="006471F9"/>
    <w:rsid w:val="0064768C"/>
    <w:rsid w:val="0064782E"/>
    <w:rsid w:val="006507E9"/>
    <w:rsid w:val="00650822"/>
    <w:rsid w:val="006508E9"/>
    <w:rsid w:val="00650A98"/>
    <w:rsid w:val="00652863"/>
    <w:rsid w:val="0065290E"/>
    <w:rsid w:val="00652921"/>
    <w:rsid w:val="00653C4B"/>
    <w:rsid w:val="00653D6D"/>
    <w:rsid w:val="00654978"/>
    <w:rsid w:val="006560A2"/>
    <w:rsid w:val="00656401"/>
    <w:rsid w:val="00656989"/>
    <w:rsid w:val="006572C7"/>
    <w:rsid w:val="00657499"/>
    <w:rsid w:val="006578FA"/>
    <w:rsid w:val="0066025F"/>
    <w:rsid w:val="0066047B"/>
    <w:rsid w:val="00660BD7"/>
    <w:rsid w:val="00660E13"/>
    <w:rsid w:val="006612BE"/>
    <w:rsid w:val="0066141F"/>
    <w:rsid w:val="00661B9D"/>
    <w:rsid w:val="00662E8A"/>
    <w:rsid w:val="00663136"/>
    <w:rsid w:val="00663BB8"/>
    <w:rsid w:val="0066419D"/>
    <w:rsid w:val="0066434A"/>
    <w:rsid w:val="00664610"/>
    <w:rsid w:val="00664DBC"/>
    <w:rsid w:val="006655C3"/>
    <w:rsid w:val="006661AE"/>
    <w:rsid w:val="006661E7"/>
    <w:rsid w:val="00666941"/>
    <w:rsid w:val="0066711D"/>
    <w:rsid w:val="0066735E"/>
    <w:rsid w:val="006674AF"/>
    <w:rsid w:val="00667861"/>
    <w:rsid w:val="00667980"/>
    <w:rsid w:val="00667EF3"/>
    <w:rsid w:val="00667FEE"/>
    <w:rsid w:val="006701A1"/>
    <w:rsid w:val="006707CC"/>
    <w:rsid w:val="00670E7B"/>
    <w:rsid w:val="00670ECD"/>
    <w:rsid w:val="00671E51"/>
    <w:rsid w:val="00673BC8"/>
    <w:rsid w:val="00673BEE"/>
    <w:rsid w:val="006740EF"/>
    <w:rsid w:val="006746D0"/>
    <w:rsid w:val="00675115"/>
    <w:rsid w:val="00675FA0"/>
    <w:rsid w:val="00676A77"/>
    <w:rsid w:val="00677B79"/>
    <w:rsid w:val="00677FAC"/>
    <w:rsid w:val="006801FA"/>
    <w:rsid w:val="00680B1F"/>
    <w:rsid w:val="00680E20"/>
    <w:rsid w:val="006811AF"/>
    <w:rsid w:val="0068129F"/>
    <w:rsid w:val="00681688"/>
    <w:rsid w:val="00681A87"/>
    <w:rsid w:val="00681D97"/>
    <w:rsid w:val="00681F24"/>
    <w:rsid w:val="006826D6"/>
    <w:rsid w:val="00682E85"/>
    <w:rsid w:val="00682F49"/>
    <w:rsid w:val="006838FF"/>
    <w:rsid w:val="00683AED"/>
    <w:rsid w:val="006840C7"/>
    <w:rsid w:val="0068441B"/>
    <w:rsid w:val="00684505"/>
    <w:rsid w:val="0068476F"/>
    <w:rsid w:val="00684771"/>
    <w:rsid w:val="00684C89"/>
    <w:rsid w:val="00685028"/>
    <w:rsid w:val="0068553C"/>
    <w:rsid w:val="00686E4A"/>
    <w:rsid w:val="00686F72"/>
    <w:rsid w:val="0068744E"/>
    <w:rsid w:val="00687644"/>
    <w:rsid w:val="00687A58"/>
    <w:rsid w:val="00687A88"/>
    <w:rsid w:val="00687B8D"/>
    <w:rsid w:val="00687CF6"/>
    <w:rsid w:val="00687D00"/>
    <w:rsid w:val="006900BA"/>
    <w:rsid w:val="0069098B"/>
    <w:rsid w:val="006914F0"/>
    <w:rsid w:val="006930F8"/>
    <w:rsid w:val="00693912"/>
    <w:rsid w:val="00693BDB"/>
    <w:rsid w:val="006940D3"/>
    <w:rsid w:val="006940F0"/>
    <w:rsid w:val="00694113"/>
    <w:rsid w:val="0069493C"/>
    <w:rsid w:val="006949CD"/>
    <w:rsid w:val="00695C9D"/>
    <w:rsid w:val="006966DF"/>
    <w:rsid w:val="006A0747"/>
    <w:rsid w:val="006A18E6"/>
    <w:rsid w:val="006A1DBF"/>
    <w:rsid w:val="006A29F8"/>
    <w:rsid w:val="006A4C49"/>
    <w:rsid w:val="006A55B0"/>
    <w:rsid w:val="006A6C1F"/>
    <w:rsid w:val="006A7279"/>
    <w:rsid w:val="006A7716"/>
    <w:rsid w:val="006A77AB"/>
    <w:rsid w:val="006A7D09"/>
    <w:rsid w:val="006B0723"/>
    <w:rsid w:val="006B0794"/>
    <w:rsid w:val="006B0C4F"/>
    <w:rsid w:val="006B14B4"/>
    <w:rsid w:val="006B1692"/>
    <w:rsid w:val="006B2437"/>
    <w:rsid w:val="006B25B8"/>
    <w:rsid w:val="006B271A"/>
    <w:rsid w:val="006B3E1A"/>
    <w:rsid w:val="006B3F37"/>
    <w:rsid w:val="006B51B9"/>
    <w:rsid w:val="006B75B6"/>
    <w:rsid w:val="006B7772"/>
    <w:rsid w:val="006B7896"/>
    <w:rsid w:val="006C0484"/>
    <w:rsid w:val="006C05A9"/>
    <w:rsid w:val="006C067B"/>
    <w:rsid w:val="006C179E"/>
    <w:rsid w:val="006C1850"/>
    <w:rsid w:val="006C231A"/>
    <w:rsid w:val="006C367E"/>
    <w:rsid w:val="006C3AB5"/>
    <w:rsid w:val="006C541F"/>
    <w:rsid w:val="006C562C"/>
    <w:rsid w:val="006C5A85"/>
    <w:rsid w:val="006C61A8"/>
    <w:rsid w:val="006C65A0"/>
    <w:rsid w:val="006C6E7A"/>
    <w:rsid w:val="006C70B8"/>
    <w:rsid w:val="006C76C7"/>
    <w:rsid w:val="006C7EC3"/>
    <w:rsid w:val="006D0598"/>
    <w:rsid w:val="006D0793"/>
    <w:rsid w:val="006D0851"/>
    <w:rsid w:val="006D0F97"/>
    <w:rsid w:val="006D2B54"/>
    <w:rsid w:val="006D348B"/>
    <w:rsid w:val="006D3522"/>
    <w:rsid w:val="006D3530"/>
    <w:rsid w:val="006D3751"/>
    <w:rsid w:val="006D4415"/>
    <w:rsid w:val="006D4716"/>
    <w:rsid w:val="006D47F4"/>
    <w:rsid w:val="006D5683"/>
    <w:rsid w:val="006D60C9"/>
    <w:rsid w:val="006D68DC"/>
    <w:rsid w:val="006D7B59"/>
    <w:rsid w:val="006D7EAC"/>
    <w:rsid w:val="006E035A"/>
    <w:rsid w:val="006E0F39"/>
    <w:rsid w:val="006E17E8"/>
    <w:rsid w:val="006E1A47"/>
    <w:rsid w:val="006E2D4E"/>
    <w:rsid w:val="006E4782"/>
    <w:rsid w:val="006E530D"/>
    <w:rsid w:val="006E566E"/>
    <w:rsid w:val="006E6D01"/>
    <w:rsid w:val="006E6FDA"/>
    <w:rsid w:val="006E737E"/>
    <w:rsid w:val="006E74B2"/>
    <w:rsid w:val="006E7CBD"/>
    <w:rsid w:val="006F003B"/>
    <w:rsid w:val="006F179A"/>
    <w:rsid w:val="006F27E3"/>
    <w:rsid w:val="006F28FB"/>
    <w:rsid w:val="006F316D"/>
    <w:rsid w:val="006F39CD"/>
    <w:rsid w:val="006F3DAA"/>
    <w:rsid w:val="006F60A5"/>
    <w:rsid w:val="006F7DDF"/>
    <w:rsid w:val="00700123"/>
    <w:rsid w:val="007004A0"/>
    <w:rsid w:val="00700E90"/>
    <w:rsid w:val="0070109F"/>
    <w:rsid w:val="00701447"/>
    <w:rsid w:val="007016D3"/>
    <w:rsid w:val="00701979"/>
    <w:rsid w:val="00701F65"/>
    <w:rsid w:val="007021DE"/>
    <w:rsid w:val="007023A5"/>
    <w:rsid w:val="00702F78"/>
    <w:rsid w:val="00702F7F"/>
    <w:rsid w:val="00703C9A"/>
    <w:rsid w:val="00703E2E"/>
    <w:rsid w:val="00703FAC"/>
    <w:rsid w:val="00704A0E"/>
    <w:rsid w:val="00705495"/>
    <w:rsid w:val="007055DE"/>
    <w:rsid w:val="007056E8"/>
    <w:rsid w:val="007058C0"/>
    <w:rsid w:val="00705BC6"/>
    <w:rsid w:val="0070698D"/>
    <w:rsid w:val="00706F45"/>
    <w:rsid w:val="00706FCE"/>
    <w:rsid w:val="00707892"/>
    <w:rsid w:val="007104DD"/>
    <w:rsid w:val="00710869"/>
    <w:rsid w:val="00711196"/>
    <w:rsid w:val="00711B3F"/>
    <w:rsid w:val="007121B4"/>
    <w:rsid w:val="00712886"/>
    <w:rsid w:val="00714306"/>
    <w:rsid w:val="007150D4"/>
    <w:rsid w:val="00715DE1"/>
    <w:rsid w:val="00717B75"/>
    <w:rsid w:val="00717ECB"/>
    <w:rsid w:val="00717FE8"/>
    <w:rsid w:val="007203E3"/>
    <w:rsid w:val="00720C72"/>
    <w:rsid w:val="007213E4"/>
    <w:rsid w:val="0072163E"/>
    <w:rsid w:val="007223EB"/>
    <w:rsid w:val="00723ABC"/>
    <w:rsid w:val="00723F70"/>
    <w:rsid w:val="0072430C"/>
    <w:rsid w:val="0072578A"/>
    <w:rsid w:val="0072662E"/>
    <w:rsid w:val="00730355"/>
    <w:rsid w:val="00730CB1"/>
    <w:rsid w:val="0073147D"/>
    <w:rsid w:val="0073158E"/>
    <w:rsid w:val="0073172A"/>
    <w:rsid w:val="00732773"/>
    <w:rsid w:val="00732EBC"/>
    <w:rsid w:val="00733672"/>
    <w:rsid w:val="0073379C"/>
    <w:rsid w:val="00733FFC"/>
    <w:rsid w:val="0073414D"/>
    <w:rsid w:val="00734289"/>
    <w:rsid w:val="007345C7"/>
    <w:rsid w:val="00735263"/>
    <w:rsid w:val="00735626"/>
    <w:rsid w:val="00735AA3"/>
    <w:rsid w:val="00735AB7"/>
    <w:rsid w:val="00735C2D"/>
    <w:rsid w:val="007363B4"/>
    <w:rsid w:val="00736733"/>
    <w:rsid w:val="00736761"/>
    <w:rsid w:val="00736B6F"/>
    <w:rsid w:val="007371A6"/>
    <w:rsid w:val="00737264"/>
    <w:rsid w:val="00737BA6"/>
    <w:rsid w:val="007409B2"/>
    <w:rsid w:val="00741510"/>
    <w:rsid w:val="00743ADC"/>
    <w:rsid w:val="00744416"/>
    <w:rsid w:val="00744493"/>
    <w:rsid w:val="00744C97"/>
    <w:rsid w:val="007462EC"/>
    <w:rsid w:val="00746589"/>
    <w:rsid w:val="0074663B"/>
    <w:rsid w:val="00746766"/>
    <w:rsid w:val="00746DF1"/>
    <w:rsid w:val="00747577"/>
    <w:rsid w:val="00747A16"/>
    <w:rsid w:val="00750613"/>
    <w:rsid w:val="007508F1"/>
    <w:rsid w:val="0075090A"/>
    <w:rsid w:val="00750B94"/>
    <w:rsid w:val="00751195"/>
    <w:rsid w:val="007522AF"/>
    <w:rsid w:val="007533C9"/>
    <w:rsid w:val="007539CB"/>
    <w:rsid w:val="007544A9"/>
    <w:rsid w:val="0075471A"/>
    <w:rsid w:val="00755A4D"/>
    <w:rsid w:val="00755D9A"/>
    <w:rsid w:val="00756B31"/>
    <w:rsid w:val="00756D76"/>
    <w:rsid w:val="007572BA"/>
    <w:rsid w:val="00757425"/>
    <w:rsid w:val="007576A8"/>
    <w:rsid w:val="00757F26"/>
    <w:rsid w:val="00760428"/>
    <w:rsid w:val="00761442"/>
    <w:rsid w:val="00761AC8"/>
    <w:rsid w:val="00761E92"/>
    <w:rsid w:val="0076206F"/>
    <w:rsid w:val="00762CF0"/>
    <w:rsid w:val="00762F5B"/>
    <w:rsid w:val="007632E0"/>
    <w:rsid w:val="00763471"/>
    <w:rsid w:val="00764453"/>
    <w:rsid w:val="00764801"/>
    <w:rsid w:val="00764C4A"/>
    <w:rsid w:val="0076515D"/>
    <w:rsid w:val="007655FA"/>
    <w:rsid w:val="007658E5"/>
    <w:rsid w:val="00765AA7"/>
    <w:rsid w:val="007662DE"/>
    <w:rsid w:val="007679EB"/>
    <w:rsid w:val="00770D94"/>
    <w:rsid w:val="00771631"/>
    <w:rsid w:val="0077193B"/>
    <w:rsid w:val="00771F9B"/>
    <w:rsid w:val="0077261D"/>
    <w:rsid w:val="0077271B"/>
    <w:rsid w:val="00772ADE"/>
    <w:rsid w:val="007735A5"/>
    <w:rsid w:val="007752E2"/>
    <w:rsid w:val="007759FE"/>
    <w:rsid w:val="007762CD"/>
    <w:rsid w:val="0077710D"/>
    <w:rsid w:val="00777290"/>
    <w:rsid w:val="007777C3"/>
    <w:rsid w:val="00780273"/>
    <w:rsid w:val="00780956"/>
    <w:rsid w:val="0078233F"/>
    <w:rsid w:val="00782D8F"/>
    <w:rsid w:val="00782F00"/>
    <w:rsid w:val="00782FC5"/>
    <w:rsid w:val="007834E3"/>
    <w:rsid w:val="0078357E"/>
    <w:rsid w:val="0078385A"/>
    <w:rsid w:val="007839E7"/>
    <w:rsid w:val="007841FF"/>
    <w:rsid w:val="00785009"/>
    <w:rsid w:val="00785E26"/>
    <w:rsid w:val="00785EFF"/>
    <w:rsid w:val="007865FC"/>
    <w:rsid w:val="00786824"/>
    <w:rsid w:val="00786C48"/>
    <w:rsid w:val="0078724C"/>
    <w:rsid w:val="007872AD"/>
    <w:rsid w:val="00787C9D"/>
    <w:rsid w:val="007906CA"/>
    <w:rsid w:val="00791503"/>
    <w:rsid w:val="007934D4"/>
    <w:rsid w:val="007939BD"/>
    <w:rsid w:val="00793C16"/>
    <w:rsid w:val="00793FBD"/>
    <w:rsid w:val="00795610"/>
    <w:rsid w:val="00795792"/>
    <w:rsid w:val="0079630D"/>
    <w:rsid w:val="00796AC3"/>
    <w:rsid w:val="00796C5E"/>
    <w:rsid w:val="0079775B"/>
    <w:rsid w:val="00797D70"/>
    <w:rsid w:val="007A0692"/>
    <w:rsid w:val="007A0B62"/>
    <w:rsid w:val="007A11B0"/>
    <w:rsid w:val="007A1236"/>
    <w:rsid w:val="007A1D32"/>
    <w:rsid w:val="007A21A0"/>
    <w:rsid w:val="007A2A69"/>
    <w:rsid w:val="007A2A6F"/>
    <w:rsid w:val="007A2D6D"/>
    <w:rsid w:val="007A39D3"/>
    <w:rsid w:val="007A3BDD"/>
    <w:rsid w:val="007A3E4D"/>
    <w:rsid w:val="007A40B3"/>
    <w:rsid w:val="007A4506"/>
    <w:rsid w:val="007A4EA2"/>
    <w:rsid w:val="007A57AE"/>
    <w:rsid w:val="007A6E20"/>
    <w:rsid w:val="007A73DA"/>
    <w:rsid w:val="007A74B2"/>
    <w:rsid w:val="007A7922"/>
    <w:rsid w:val="007B07C4"/>
    <w:rsid w:val="007B0B94"/>
    <w:rsid w:val="007B11EC"/>
    <w:rsid w:val="007B1798"/>
    <w:rsid w:val="007B1956"/>
    <w:rsid w:val="007B1F57"/>
    <w:rsid w:val="007B4597"/>
    <w:rsid w:val="007B47A0"/>
    <w:rsid w:val="007B4B84"/>
    <w:rsid w:val="007B5174"/>
    <w:rsid w:val="007B5336"/>
    <w:rsid w:val="007B55C5"/>
    <w:rsid w:val="007B57D2"/>
    <w:rsid w:val="007B5E43"/>
    <w:rsid w:val="007B70FB"/>
    <w:rsid w:val="007B74DB"/>
    <w:rsid w:val="007C02CB"/>
    <w:rsid w:val="007C0482"/>
    <w:rsid w:val="007C0A97"/>
    <w:rsid w:val="007C123C"/>
    <w:rsid w:val="007C1DC9"/>
    <w:rsid w:val="007C1FC0"/>
    <w:rsid w:val="007C20FE"/>
    <w:rsid w:val="007C2678"/>
    <w:rsid w:val="007C2F6E"/>
    <w:rsid w:val="007C3435"/>
    <w:rsid w:val="007C376A"/>
    <w:rsid w:val="007C3E04"/>
    <w:rsid w:val="007C4A77"/>
    <w:rsid w:val="007C55BE"/>
    <w:rsid w:val="007C5AB5"/>
    <w:rsid w:val="007C5CCF"/>
    <w:rsid w:val="007C766F"/>
    <w:rsid w:val="007C7AD6"/>
    <w:rsid w:val="007C7C59"/>
    <w:rsid w:val="007C7D46"/>
    <w:rsid w:val="007C7DC7"/>
    <w:rsid w:val="007D0BB9"/>
    <w:rsid w:val="007D2593"/>
    <w:rsid w:val="007D2A26"/>
    <w:rsid w:val="007D40F5"/>
    <w:rsid w:val="007D4419"/>
    <w:rsid w:val="007D46D8"/>
    <w:rsid w:val="007D4892"/>
    <w:rsid w:val="007D48E9"/>
    <w:rsid w:val="007D53CB"/>
    <w:rsid w:val="007D564C"/>
    <w:rsid w:val="007D5857"/>
    <w:rsid w:val="007D6380"/>
    <w:rsid w:val="007D6F86"/>
    <w:rsid w:val="007D72EB"/>
    <w:rsid w:val="007D7CD6"/>
    <w:rsid w:val="007D7E01"/>
    <w:rsid w:val="007E0680"/>
    <w:rsid w:val="007E06FB"/>
    <w:rsid w:val="007E0F8F"/>
    <w:rsid w:val="007E317C"/>
    <w:rsid w:val="007E3E82"/>
    <w:rsid w:val="007E44F9"/>
    <w:rsid w:val="007E46B8"/>
    <w:rsid w:val="007E5E79"/>
    <w:rsid w:val="007E5ED9"/>
    <w:rsid w:val="007E5EDC"/>
    <w:rsid w:val="007E5F31"/>
    <w:rsid w:val="007E6646"/>
    <w:rsid w:val="007E6C51"/>
    <w:rsid w:val="007E7232"/>
    <w:rsid w:val="007E72AB"/>
    <w:rsid w:val="007F0378"/>
    <w:rsid w:val="007F0684"/>
    <w:rsid w:val="007F06B6"/>
    <w:rsid w:val="007F06E8"/>
    <w:rsid w:val="007F08B2"/>
    <w:rsid w:val="007F0AF8"/>
    <w:rsid w:val="007F200C"/>
    <w:rsid w:val="007F219A"/>
    <w:rsid w:val="007F226D"/>
    <w:rsid w:val="007F2450"/>
    <w:rsid w:val="007F2841"/>
    <w:rsid w:val="007F2A83"/>
    <w:rsid w:val="007F3A6F"/>
    <w:rsid w:val="007F3F16"/>
    <w:rsid w:val="007F4981"/>
    <w:rsid w:val="007F5C57"/>
    <w:rsid w:val="007F65DB"/>
    <w:rsid w:val="007F6761"/>
    <w:rsid w:val="007F6BC4"/>
    <w:rsid w:val="007F70D4"/>
    <w:rsid w:val="007F76B6"/>
    <w:rsid w:val="0080009A"/>
    <w:rsid w:val="00800120"/>
    <w:rsid w:val="0080073F"/>
    <w:rsid w:val="008009AF"/>
    <w:rsid w:val="0080123D"/>
    <w:rsid w:val="00801CB1"/>
    <w:rsid w:val="00802AA7"/>
    <w:rsid w:val="00802B6F"/>
    <w:rsid w:val="00802BED"/>
    <w:rsid w:val="00803ACE"/>
    <w:rsid w:val="00805B99"/>
    <w:rsid w:val="008064DA"/>
    <w:rsid w:val="00806E9B"/>
    <w:rsid w:val="00807090"/>
    <w:rsid w:val="008071F1"/>
    <w:rsid w:val="00807926"/>
    <w:rsid w:val="00807A15"/>
    <w:rsid w:val="00807AB5"/>
    <w:rsid w:val="008100A2"/>
    <w:rsid w:val="008107F5"/>
    <w:rsid w:val="00810E30"/>
    <w:rsid w:val="00810ED7"/>
    <w:rsid w:val="008136E9"/>
    <w:rsid w:val="00813AEB"/>
    <w:rsid w:val="00813FF1"/>
    <w:rsid w:val="00814CAD"/>
    <w:rsid w:val="00814F7D"/>
    <w:rsid w:val="00815CC8"/>
    <w:rsid w:val="00816377"/>
    <w:rsid w:val="008167F3"/>
    <w:rsid w:val="00817D96"/>
    <w:rsid w:val="00817F9A"/>
    <w:rsid w:val="008227FA"/>
    <w:rsid w:val="008229A2"/>
    <w:rsid w:val="00823049"/>
    <w:rsid w:val="0082443D"/>
    <w:rsid w:val="00824A9E"/>
    <w:rsid w:val="00824AA5"/>
    <w:rsid w:val="00825852"/>
    <w:rsid w:val="00825EA0"/>
    <w:rsid w:val="00825F58"/>
    <w:rsid w:val="00826756"/>
    <w:rsid w:val="008268CF"/>
    <w:rsid w:val="008270EE"/>
    <w:rsid w:val="00827497"/>
    <w:rsid w:val="0083026B"/>
    <w:rsid w:val="00830356"/>
    <w:rsid w:val="00831472"/>
    <w:rsid w:val="008329FF"/>
    <w:rsid w:val="00832ECB"/>
    <w:rsid w:val="00833526"/>
    <w:rsid w:val="008340EC"/>
    <w:rsid w:val="008344B2"/>
    <w:rsid w:val="00834B47"/>
    <w:rsid w:val="00835459"/>
    <w:rsid w:val="00836F1A"/>
    <w:rsid w:val="008373A3"/>
    <w:rsid w:val="00837C41"/>
    <w:rsid w:val="00837C92"/>
    <w:rsid w:val="00837F0F"/>
    <w:rsid w:val="008416E5"/>
    <w:rsid w:val="0084210C"/>
    <w:rsid w:val="00842BBA"/>
    <w:rsid w:val="00842CB6"/>
    <w:rsid w:val="00842D41"/>
    <w:rsid w:val="00843029"/>
    <w:rsid w:val="00843420"/>
    <w:rsid w:val="00843B5D"/>
    <w:rsid w:val="008447D4"/>
    <w:rsid w:val="0084506C"/>
    <w:rsid w:val="008454BD"/>
    <w:rsid w:val="008463F3"/>
    <w:rsid w:val="00846D76"/>
    <w:rsid w:val="0085005F"/>
    <w:rsid w:val="0085062F"/>
    <w:rsid w:val="008506AC"/>
    <w:rsid w:val="00851059"/>
    <w:rsid w:val="00851307"/>
    <w:rsid w:val="008515B1"/>
    <w:rsid w:val="00852508"/>
    <w:rsid w:val="00852B17"/>
    <w:rsid w:val="00852E5B"/>
    <w:rsid w:val="00853677"/>
    <w:rsid w:val="008536B3"/>
    <w:rsid w:val="00853ACD"/>
    <w:rsid w:val="00853ACF"/>
    <w:rsid w:val="00853F1F"/>
    <w:rsid w:val="008544D3"/>
    <w:rsid w:val="00855526"/>
    <w:rsid w:val="008558A1"/>
    <w:rsid w:val="0085642F"/>
    <w:rsid w:val="008573AF"/>
    <w:rsid w:val="00857645"/>
    <w:rsid w:val="00857D80"/>
    <w:rsid w:val="008602FC"/>
    <w:rsid w:val="0086083C"/>
    <w:rsid w:val="00860989"/>
    <w:rsid w:val="00860CF9"/>
    <w:rsid w:val="008622D3"/>
    <w:rsid w:val="0086268A"/>
    <w:rsid w:val="008639A2"/>
    <w:rsid w:val="00863BBB"/>
    <w:rsid w:val="00863D0B"/>
    <w:rsid w:val="008640FD"/>
    <w:rsid w:val="0086426C"/>
    <w:rsid w:val="0086564F"/>
    <w:rsid w:val="00865681"/>
    <w:rsid w:val="00866618"/>
    <w:rsid w:val="00867985"/>
    <w:rsid w:val="00867B6B"/>
    <w:rsid w:val="00870AFC"/>
    <w:rsid w:val="008715CC"/>
    <w:rsid w:val="008719F7"/>
    <w:rsid w:val="00872589"/>
    <w:rsid w:val="00872770"/>
    <w:rsid w:val="00873754"/>
    <w:rsid w:val="00874B20"/>
    <w:rsid w:val="008751B8"/>
    <w:rsid w:val="008752FC"/>
    <w:rsid w:val="00875FA4"/>
    <w:rsid w:val="008763C8"/>
    <w:rsid w:val="00877D6E"/>
    <w:rsid w:val="00877E35"/>
    <w:rsid w:val="0088014E"/>
    <w:rsid w:val="00880BAB"/>
    <w:rsid w:val="008817FF"/>
    <w:rsid w:val="00881CC6"/>
    <w:rsid w:val="00881D3D"/>
    <w:rsid w:val="00882284"/>
    <w:rsid w:val="0088239C"/>
    <w:rsid w:val="00882745"/>
    <w:rsid w:val="008828F7"/>
    <w:rsid w:val="00882A65"/>
    <w:rsid w:val="00882E58"/>
    <w:rsid w:val="008835B1"/>
    <w:rsid w:val="00883B3F"/>
    <w:rsid w:val="00884BD4"/>
    <w:rsid w:val="00884CE3"/>
    <w:rsid w:val="008851BE"/>
    <w:rsid w:val="00885538"/>
    <w:rsid w:val="00885691"/>
    <w:rsid w:val="00886188"/>
    <w:rsid w:val="00886AF1"/>
    <w:rsid w:val="00887063"/>
    <w:rsid w:val="00887F1B"/>
    <w:rsid w:val="008900CF"/>
    <w:rsid w:val="00891E35"/>
    <w:rsid w:val="008922CF"/>
    <w:rsid w:val="008923D1"/>
    <w:rsid w:val="008925B9"/>
    <w:rsid w:val="0089359D"/>
    <w:rsid w:val="008937CB"/>
    <w:rsid w:val="0089427B"/>
    <w:rsid w:val="0089483C"/>
    <w:rsid w:val="00894A6B"/>
    <w:rsid w:val="00894A7F"/>
    <w:rsid w:val="00895E4B"/>
    <w:rsid w:val="00895E5A"/>
    <w:rsid w:val="00896642"/>
    <w:rsid w:val="00896E3B"/>
    <w:rsid w:val="00897502"/>
    <w:rsid w:val="00897855"/>
    <w:rsid w:val="00897E32"/>
    <w:rsid w:val="008A0432"/>
    <w:rsid w:val="008A0E63"/>
    <w:rsid w:val="008A125D"/>
    <w:rsid w:val="008A173F"/>
    <w:rsid w:val="008A1EFD"/>
    <w:rsid w:val="008A2790"/>
    <w:rsid w:val="008A2C5D"/>
    <w:rsid w:val="008A3C32"/>
    <w:rsid w:val="008A3CB8"/>
    <w:rsid w:val="008A40AB"/>
    <w:rsid w:val="008A414F"/>
    <w:rsid w:val="008A4F57"/>
    <w:rsid w:val="008A52CE"/>
    <w:rsid w:val="008A574C"/>
    <w:rsid w:val="008A6A25"/>
    <w:rsid w:val="008B0BA7"/>
    <w:rsid w:val="008B0D11"/>
    <w:rsid w:val="008B1E06"/>
    <w:rsid w:val="008B20A4"/>
    <w:rsid w:val="008B2F1A"/>
    <w:rsid w:val="008B31AD"/>
    <w:rsid w:val="008B331F"/>
    <w:rsid w:val="008B3A87"/>
    <w:rsid w:val="008B3C1F"/>
    <w:rsid w:val="008B4243"/>
    <w:rsid w:val="008B4953"/>
    <w:rsid w:val="008B4E19"/>
    <w:rsid w:val="008B4F72"/>
    <w:rsid w:val="008B585B"/>
    <w:rsid w:val="008B5F58"/>
    <w:rsid w:val="008B6367"/>
    <w:rsid w:val="008B63AD"/>
    <w:rsid w:val="008B7546"/>
    <w:rsid w:val="008B7636"/>
    <w:rsid w:val="008B79D4"/>
    <w:rsid w:val="008C0557"/>
    <w:rsid w:val="008C0771"/>
    <w:rsid w:val="008C0845"/>
    <w:rsid w:val="008C127F"/>
    <w:rsid w:val="008C1715"/>
    <w:rsid w:val="008C1779"/>
    <w:rsid w:val="008C1DC1"/>
    <w:rsid w:val="008C28B3"/>
    <w:rsid w:val="008C3434"/>
    <w:rsid w:val="008C3591"/>
    <w:rsid w:val="008C3A88"/>
    <w:rsid w:val="008C3AC1"/>
    <w:rsid w:val="008C4EB8"/>
    <w:rsid w:val="008C61B0"/>
    <w:rsid w:val="008C6FD3"/>
    <w:rsid w:val="008C702F"/>
    <w:rsid w:val="008C70EB"/>
    <w:rsid w:val="008C7A27"/>
    <w:rsid w:val="008C7FA7"/>
    <w:rsid w:val="008D03A3"/>
    <w:rsid w:val="008D0ACB"/>
    <w:rsid w:val="008D155D"/>
    <w:rsid w:val="008D15E6"/>
    <w:rsid w:val="008D229E"/>
    <w:rsid w:val="008D24C5"/>
    <w:rsid w:val="008D36D2"/>
    <w:rsid w:val="008D3FE4"/>
    <w:rsid w:val="008D415F"/>
    <w:rsid w:val="008D4B1B"/>
    <w:rsid w:val="008D5506"/>
    <w:rsid w:val="008D56FC"/>
    <w:rsid w:val="008D5DAB"/>
    <w:rsid w:val="008D5FB0"/>
    <w:rsid w:val="008D6641"/>
    <w:rsid w:val="008D6644"/>
    <w:rsid w:val="008D6847"/>
    <w:rsid w:val="008D6968"/>
    <w:rsid w:val="008D6C68"/>
    <w:rsid w:val="008D71F3"/>
    <w:rsid w:val="008D7AFD"/>
    <w:rsid w:val="008D7E3E"/>
    <w:rsid w:val="008D7EA6"/>
    <w:rsid w:val="008E0029"/>
    <w:rsid w:val="008E01BA"/>
    <w:rsid w:val="008E0219"/>
    <w:rsid w:val="008E08E9"/>
    <w:rsid w:val="008E0DE2"/>
    <w:rsid w:val="008E1A04"/>
    <w:rsid w:val="008E1CA4"/>
    <w:rsid w:val="008E2796"/>
    <w:rsid w:val="008E2BCC"/>
    <w:rsid w:val="008E3B01"/>
    <w:rsid w:val="008E471D"/>
    <w:rsid w:val="008E5A4E"/>
    <w:rsid w:val="008E6D37"/>
    <w:rsid w:val="008E6F6B"/>
    <w:rsid w:val="008E7155"/>
    <w:rsid w:val="008E71FB"/>
    <w:rsid w:val="008E7365"/>
    <w:rsid w:val="008E7E42"/>
    <w:rsid w:val="008E7F33"/>
    <w:rsid w:val="008F0248"/>
    <w:rsid w:val="008F07B8"/>
    <w:rsid w:val="008F0932"/>
    <w:rsid w:val="008F0EF5"/>
    <w:rsid w:val="008F1238"/>
    <w:rsid w:val="008F1B93"/>
    <w:rsid w:val="008F1BA0"/>
    <w:rsid w:val="008F232D"/>
    <w:rsid w:val="008F2435"/>
    <w:rsid w:val="008F257A"/>
    <w:rsid w:val="008F35D9"/>
    <w:rsid w:val="008F3793"/>
    <w:rsid w:val="008F3E4F"/>
    <w:rsid w:val="008F4363"/>
    <w:rsid w:val="008F438C"/>
    <w:rsid w:val="008F465B"/>
    <w:rsid w:val="008F525C"/>
    <w:rsid w:val="008F540C"/>
    <w:rsid w:val="008F6060"/>
    <w:rsid w:val="008F6426"/>
    <w:rsid w:val="008F6B8B"/>
    <w:rsid w:val="008F6EA1"/>
    <w:rsid w:val="008F74F0"/>
    <w:rsid w:val="00900C3B"/>
    <w:rsid w:val="00901038"/>
    <w:rsid w:val="009013A1"/>
    <w:rsid w:val="0090146E"/>
    <w:rsid w:val="00901D9F"/>
    <w:rsid w:val="00901E4D"/>
    <w:rsid w:val="0090218B"/>
    <w:rsid w:val="00903424"/>
    <w:rsid w:val="00903553"/>
    <w:rsid w:val="0090368C"/>
    <w:rsid w:val="00904206"/>
    <w:rsid w:val="0090491E"/>
    <w:rsid w:val="009049B3"/>
    <w:rsid w:val="00904D8C"/>
    <w:rsid w:val="00905456"/>
    <w:rsid w:val="009058F9"/>
    <w:rsid w:val="0090621C"/>
    <w:rsid w:val="00906618"/>
    <w:rsid w:val="00906C4A"/>
    <w:rsid w:val="00910866"/>
    <w:rsid w:val="009110AD"/>
    <w:rsid w:val="009110CA"/>
    <w:rsid w:val="009111CC"/>
    <w:rsid w:val="009114FF"/>
    <w:rsid w:val="00911A79"/>
    <w:rsid w:val="00911D8B"/>
    <w:rsid w:val="009127CC"/>
    <w:rsid w:val="00912D18"/>
    <w:rsid w:val="00914099"/>
    <w:rsid w:val="00914797"/>
    <w:rsid w:val="009158B9"/>
    <w:rsid w:val="0091620A"/>
    <w:rsid w:val="00916863"/>
    <w:rsid w:val="009171B3"/>
    <w:rsid w:val="00917458"/>
    <w:rsid w:val="00917EF4"/>
    <w:rsid w:val="0092096D"/>
    <w:rsid w:val="00921E56"/>
    <w:rsid w:val="009221ED"/>
    <w:rsid w:val="0092259C"/>
    <w:rsid w:val="00922AB8"/>
    <w:rsid w:val="00923106"/>
    <w:rsid w:val="0092330D"/>
    <w:rsid w:val="00923D98"/>
    <w:rsid w:val="00923FFB"/>
    <w:rsid w:val="0092422A"/>
    <w:rsid w:val="00924CAD"/>
    <w:rsid w:val="00926F12"/>
    <w:rsid w:val="00927309"/>
    <w:rsid w:val="009278F2"/>
    <w:rsid w:val="00927DE3"/>
    <w:rsid w:val="00930591"/>
    <w:rsid w:val="00930609"/>
    <w:rsid w:val="00930B72"/>
    <w:rsid w:val="0093196E"/>
    <w:rsid w:val="00931A58"/>
    <w:rsid w:val="00932113"/>
    <w:rsid w:val="00932AD7"/>
    <w:rsid w:val="00932E71"/>
    <w:rsid w:val="00933C9E"/>
    <w:rsid w:val="00934C06"/>
    <w:rsid w:val="009352C5"/>
    <w:rsid w:val="00935534"/>
    <w:rsid w:val="0093562F"/>
    <w:rsid w:val="00935F61"/>
    <w:rsid w:val="009360BB"/>
    <w:rsid w:val="00936B1F"/>
    <w:rsid w:val="009379F0"/>
    <w:rsid w:val="00937A67"/>
    <w:rsid w:val="0094064D"/>
    <w:rsid w:val="00942B2E"/>
    <w:rsid w:val="009431FA"/>
    <w:rsid w:val="00943238"/>
    <w:rsid w:val="00943CFE"/>
    <w:rsid w:val="00943F96"/>
    <w:rsid w:val="00943FA2"/>
    <w:rsid w:val="0094494D"/>
    <w:rsid w:val="00944AF7"/>
    <w:rsid w:val="00944E59"/>
    <w:rsid w:val="00945401"/>
    <w:rsid w:val="009459F4"/>
    <w:rsid w:val="00945ABE"/>
    <w:rsid w:val="00945E58"/>
    <w:rsid w:val="00946127"/>
    <w:rsid w:val="00946907"/>
    <w:rsid w:val="009508FB"/>
    <w:rsid w:val="00950CAE"/>
    <w:rsid w:val="00951256"/>
    <w:rsid w:val="009512EC"/>
    <w:rsid w:val="00951308"/>
    <w:rsid w:val="009519A8"/>
    <w:rsid w:val="00951F0B"/>
    <w:rsid w:val="0095315A"/>
    <w:rsid w:val="009534DD"/>
    <w:rsid w:val="009535C2"/>
    <w:rsid w:val="00953A73"/>
    <w:rsid w:val="00954D5A"/>
    <w:rsid w:val="009551A8"/>
    <w:rsid w:val="00956098"/>
    <w:rsid w:val="00956B6C"/>
    <w:rsid w:val="00957B5B"/>
    <w:rsid w:val="009601CB"/>
    <w:rsid w:val="0096059A"/>
    <w:rsid w:val="0096081E"/>
    <w:rsid w:val="00960D39"/>
    <w:rsid w:val="00960F7E"/>
    <w:rsid w:val="009611A5"/>
    <w:rsid w:val="00961742"/>
    <w:rsid w:val="0096193B"/>
    <w:rsid w:val="00961BF0"/>
    <w:rsid w:val="00963188"/>
    <w:rsid w:val="00963240"/>
    <w:rsid w:val="00963B82"/>
    <w:rsid w:val="00963D81"/>
    <w:rsid w:val="00964338"/>
    <w:rsid w:val="00964475"/>
    <w:rsid w:val="00964A6E"/>
    <w:rsid w:val="00964FB4"/>
    <w:rsid w:val="0096563E"/>
    <w:rsid w:val="00965A82"/>
    <w:rsid w:val="009663B0"/>
    <w:rsid w:val="009666BD"/>
    <w:rsid w:val="0096670E"/>
    <w:rsid w:val="00966BFB"/>
    <w:rsid w:val="00966CFF"/>
    <w:rsid w:val="009670AC"/>
    <w:rsid w:val="00967CDA"/>
    <w:rsid w:val="00970048"/>
    <w:rsid w:val="00971831"/>
    <w:rsid w:val="0097216D"/>
    <w:rsid w:val="00972900"/>
    <w:rsid w:val="00972D8F"/>
    <w:rsid w:val="0097363C"/>
    <w:rsid w:val="00973C2B"/>
    <w:rsid w:val="00973CCA"/>
    <w:rsid w:val="0097437B"/>
    <w:rsid w:val="0097441E"/>
    <w:rsid w:val="0097556A"/>
    <w:rsid w:val="00975FB0"/>
    <w:rsid w:val="009762C7"/>
    <w:rsid w:val="009766E7"/>
    <w:rsid w:val="0097670F"/>
    <w:rsid w:val="00976C61"/>
    <w:rsid w:val="009803EC"/>
    <w:rsid w:val="00981215"/>
    <w:rsid w:val="009812FC"/>
    <w:rsid w:val="009813BF"/>
    <w:rsid w:val="009819CD"/>
    <w:rsid w:val="00981D8D"/>
    <w:rsid w:val="00982C0D"/>
    <w:rsid w:val="00983D98"/>
    <w:rsid w:val="009844B4"/>
    <w:rsid w:val="0098453B"/>
    <w:rsid w:val="0098462A"/>
    <w:rsid w:val="00984D82"/>
    <w:rsid w:val="009854EF"/>
    <w:rsid w:val="0098572B"/>
    <w:rsid w:val="00985CDA"/>
    <w:rsid w:val="0098603A"/>
    <w:rsid w:val="00986137"/>
    <w:rsid w:val="00986B96"/>
    <w:rsid w:val="0098740B"/>
    <w:rsid w:val="00987C6F"/>
    <w:rsid w:val="0099018C"/>
    <w:rsid w:val="00990708"/>
    <w:rsid w:val="00990C3D"/>
    <w:rsid w:val="0099199D"/>
    <w:rsid w:val="00991B9A"/>
    <w:rsid w:val="0099216E"/>
    <w:rsid w:val="009921CE"/>
    <w:rsid w:val="0099331F"/>
    <w:rsid w:val="00993499"/>
    <w:rsid w:val="009934DB"/>
    <w:rsid w:val="009939CB"/>
    <w:rsid w:val="00993CFF"/>
    <w:rsid w:val="00993D95"/>
    <w:rsid w:val="009948FE"/>
    <w:rsid w:val="00994D09"/>
    <w:rsid w:val="00995756"/>
    <w:rsid w:val="00996AFE"/>
    <w:rsid w:val="00997125"/>
    <w:rsid w:val="009A0208"/>
    <w:rsid w:val="009A0B05"/>
    <w:rsid w:val="009A1B80"/>
    <w:rsid w:val="009A21EE"/>
    <w:rsid w:val="009A253B"/>
    <w:rsid w:val="009A2F7C"/>
    <w:rsid w:val="009A3C6E"/>
    <w:rsid w:val="009A640C"/>
    <w:rsid w:val="009A657D"/>
    <w:rsid w:val="009A667C"/>
    <w:rsid w:val="009A6A04"/>
    <w:rsid w:val="009A6A34"/>
    <w:rsid w:val="009A7344"/>
    <w:rsid w:val="009A78A6"/>
    <w:rsid w:val="009B01AE"/>
    <w:rsid w:val="009B04F2"/>
    <w:rsid w:val="009B0A43"/>
    <w:rsid w:val="009B123D"/>
    <w:rsid w:val="009B1C1B"/>
    <w:rsid w:val="009B1E55"/>
    <w:rsid w:val="009B35BF"/>
    <w:rsid w:val="009B4C3E"/>
    <w:rsid w:val="009B4D2F"/>
    <w:rsid w:val="009B5038"/>
    <w:rsid w:val="009B55FE"/>
    <w:rsid w:val="009B56BE"/>
    <w:rsid w:val="009B573C"/>
    <w:rsid w:val="009B6E0F"/>
    <w:rsid w:val="009B708C"/>
    <w:rsid w:val="009B7356"/>
    <w:rsid w:val="009B78AF"/>
    <w:rsid w:val="009B7A8A"/>
    <w:rsid w:val="009C099B"/>
    <w:rsid w:val="009C0B86"/>
    <w:rsid w:val="009C1604"/>
    <w:rsid w:val="009C1ADB"/>
    <w:rsid w:val="009C1D1A"/>
    <w:rsid w:val="009C1F3C"/>
    <w:rsid w:val="009C25AE"/>
    <w:rsid w:val="009C37BF"/>
    <w:rsid w:val="009C398A"/>
    <w:rsid w:val="009C40C8"/>
    <w:rsid w:val="009C442E"/>
    <w:rsid w:val="009C4676"/>
    <w:rsid w:val="009C4D74"/>
    <w:rsid w:val="009C52A3"/>
    <w:rsid w:val="009C5FC3"/>
    <w:rsid w:val="009C6046"/>
    <w:rsid w:val="009C60E9"/>
    <w:rsid w:val="009C6629"/>
    <w:rsid w:val="009C7896"/>
    <w:rsid w:val="009D0530"/>
    <w:rsid w:val="009D0C23"/>
    <w:rsid w:val="009D0CF4"/>
    <w:rsid w:val="009D0D52"/>
    <w:rsid w:val="009D140A"/>
    <w:rsid w:val="009D1460"/>
    <w:rsid w:val="009D1A74"/>
    <w:rsid w:val="009D2398"/>
    <w:rsid w:val="009D23B8"/>
    <w:rsid w:val="009D2988"/>
    <w:rsid w:val="009D2B87"/>
    <w:rsid w:val="009D3160"/>
    <w:rsid w:val="009D39E1"/>
    <w:rsid w:val="009D3D90"/>
    <w:rsid w:val="009D43C4"/>
    <w:rsid w:val="009D484C"/>
    <w:rsid w:val="009D4C5D"/>
    <w:rsid w:val="009D59CA"/>
    <w:rsid w:val="009D6254"/>
    <w:rsid w:val="009D645F"/>
    <w:rsid w:val="009D6D3F"/>
    <w:rsid w:val="009D7410"/>
    <w:rsid w:val="009D7601"/>
    <w:rsid w:val="009D7622"/>
    <w:rsid w:val="009E05DA"/>
    <w:rsid w:val="009E075E"/>
    <w:rsid w:val="009E1908"/>
    <w:rsid w:val="009E1ECF"/>
    <w:rsid w:val="009E2463"/>
    <w:rsid w:val="009E2B4C"/>
    <w:rsid w:val="009E2C55"/>
    <w:rsid w:val="009E2E3F"/>
    <w:rsid w:val="009E2FAC"/>
    <w:rsid w:val="009E3197"/>
    <w:rsid w:val="009E391D"/>
    <w:rsid w:val="009E44A4"/>
    <w:rsid w:val="009E4A34"/>
    <w:rsid w:val="009E4E3B"/>
    <w:rsid w:val="009E4F7F"/>
    <w:rsid w:val="009E59F4"/>
    <w:rsid w:val="009E61B0"/>
    <w:rsid w:val="009E63F0"/>
    <w:rsid w:val="009E716C"/>
    <w:rsid w:val="009E7A47"/>
    <w:rsid w:val="009E7BCD"/>
    <w:rsid w:val="009F012F"/>
    <w:rsid w:val="009F05AC"/>
    <w:rsid w:val="009F086C"/>
    <w:rsid w:val="009F142C"/>
    <w:rsid w:val="009F1443"/>
    <w:rsid w:val="009F14F3"/>
    <w:rsid w:val="009F1778"/>
    <w:rsid w:val="009F1EEE"/>
    <w:rsid w:val="009F239C"/>
    <w:rsid w:val="009F282A"/>
    <w:rsid w:val="009F2E88"/>
    <w:rsid w:val="009F4825"/>
    <w:rsid w:val="009F49FF"/>
    <w:rsid w:val="009F5CE6"/>
    <w:rsid w:val="009F60E0"/>
    <w:rsid w:val="009F68A3"/>
    <w:rsid w:val="009F6B75"/>
    <w:rsid w:val="009F6C90"/>
    <w:rsid w:val="009F74DB"/>
    <w:rsid w:val="009F77DF"/>
    <w:rsid w:val="009F7813"/>
    <w:rsid w:val="009F783F"/>
    <w:rsid w:val="009F7CB3"/>
    <w:rsid w:val="00A00221"/>
    <w:rsid w:val="00A00437"/>
    <w:rsid w:val="00A00DDA"/>
    <w:rsid w:val="00A01385"/>
    <w:rsid w:val="00A01B9D"/>
    <w:rsid w:val="00A02C0A"/>
    <w:rsid w:val="00A03652"/>
    <w:rsid w:val="00A03A2A"/>
    <w:rsid w:val="00A03D17"/>
    <w:rsid w:val="00A0480E"/>
    <w:rsid w:val="00A04844"/>
    <w:rsid w:val="00A064E2"/>
    <w:rsid w:val="00A06ED8"/>
    <w:rsid w:val="00A07570"/>
    <w:rsid w:val="00A10103"/>
    <w:rsid w:val="00A10707"/>
    <w:rsid w:val="00A11137"/>
    <w:rsid w:val="00A111EA"/>
    <w:rsid w:val="00A11235"/>
    <w:rsid w:val="00A1135E"/>
    <w:rsid w:val="00A11447"/>
    <w:rsid w:val="00A11B67"/>
    <w:rsid w:val="00A11C28"/>
    <w:rsid w:val="00A11DEE"/>
    <w:rsid w:val="00A12B28"/>
    <w:rsid w:val="00A12F3C"/>
    <w:rsid w:val="00A13C3A"/>
    <w:rsid w:val="00A13EAB"/>
    <w:rsid w:val="00A151EB"/>
    <w:rsid w:val="00A162DF"/>
    <w:rsid w:val="00A16324"/>
    <w:rsid w:val="00A17013"/>
    <w:rsid w:val="00A175C6"/>
    <w:rsid w:val="00A17AF1"/>
    <w:rsid w:val="00A17B4D"/>
    <w:rsid w:val="00A17B91"/>
    <w:rsid w:val="00A20220"/>
    <w:rsid w:val="00A20CAE"/>
    <w:rsid w:val="00A216BF"/>
    <w:rsid w:val="00A21C7C"/>
    <w:rsid w:val="00A22A9E"/>
    <w:rsid w:val="00A23269"/>
    <w:rsid w:val="00A238E0"/>
    <w:rsid w:val="00A23F95"/>
    <w:rsid w:val="00A24010"/>
    <w:rsid w:val="00A24CF6"/>
    <w:rsid w:val="00A25E6E"/>
    <w:rsid w:val="00A26462"/>
    <w:rsid w:val="00A26700"/>
    <w:rsid w:val="00A26B21"/>
    <w:rsid w:val="00A274E2"/>
    <w:rsid w:val="00A2766F"/>
    <w:rsid w:val="00A27B4F"/>
    <w:rsid w:val="00A30B97"/>
    <w:rsid w:val="00A30BDB"/>
    <w:rsid w:val="00A31193"/>
    <w:rsid w:val="00A312FC"/>
    <w:rsid w:val="00A31F9A"/>
    <w:rsid w:val="00A3288D"/>
    <w:rsid w:val="00A3307A"/>
    <w:rsid w:val="00A34BDA"/>
    <w:rsid w:val="00A358DC"/>
    <w:rsid w:val="00A35AFC"/>
    <w:rsid w:val="00A3607A"/>
    <w:rsid w:val="00A362FE"/>
    <w:rsid w:val="00A37093"/>
    <w:rsid w:val="00A400B2"/>
    <w:rsid w:val="00A4055C"/>
    <w:rsid w:val="00A4164A"/>
    <w:rsid w:val="00A41898"/>
    <w:rsid w:val="00A4189A"/>
    <w:rsid w:val="00A41C3D"/>
    <w:rsid w:val="00A41F29"/>
    <w:rsid w:val="00A41F2E"/>
    <w:rsid w:val="00A42475"/>
    <w:rsid w:val="00A42D5D"/>
    <w:rsid w:val="00A432A0"/>
    <w:rsid w:val="00A4354B"/>
    <w:rsid w:val="00A43F0A"/>
    <w:rsid w:val="00A43FF9"/>
    <w:rsid w:val="00A44220"/>
    <w:rsid w:val="00A44627"/>
    <w:rsid w:val="00A4578C"/>
    <w:rsid w:val="00A465E9"/>
    <w:rsid w:val="00A4661A"/>
    <w:rsid w:val="00A46A4B"/>
    <w:rsid w:val="00A47774"/>
    <w:rsid w:val="00A47BC1"/>
    <w:rsid w:val="00A47CAA"/>
    <w:rsid w:val="00A505E0"/>
    <w:rsid w:val="00A50899"/>
    <w:rsid w:val="00A512A2"/>
    <w:rsid w:val="00A51DF0"/>
    <w:rsid w:val="00A5216F"/>
    <w:rsid w:val="00A52254"/>
    <w:rsid w:val="00A52401"/>
    <w:rsid w:val="00A5287D"/>
    <w:rsid w:val="00A52BBB"/>
    <w:rsid w:val="00A539C0"/>
    <w:rsid w:val="00A550F7"/>
    <w:rsid w:val="00A55E33"/>
    <w:rsid w:val="00A562BE"/>
    <w:rsid w:val="00A5631F"/>
    <w:rsid w:val="00A56A4F"/>
    <w:rsid w:val="00A56B98"/>
    <w:rsid w:val="00A56DDE"/>
    <w:rsid w:val="00A56EA0"/>
    <w:rsid w:val="00A5787F"/>
    <w:rsid w:val="00A57E73"/>
    <w:rsid w:val="00A60436"/>
    <w:rsid w:val="00A607D9"/>
    <w:rsid w:val="00A60C3A"/>
    <w:rsid w:val="00A621B7"/>
    <w:rsid w:val="00A63037"/>
    <w:rsid w:val="00A6323E"/>
    <w:rsid w:val="00A63AF3"/>
    <w:rsid w:val="00A6419E"/>
    <w:rsid w:val="00A64E8C"/>
    <w:rsid w:val="00A64EF8"/>
    <w:rsid w:val="00A65E01"/>
    <w:rsid w:val="00A664B6"/>
    <w:rsid w:val="00A6677B"/>
    <w:rsid w:val="00A6771B"/>
    <w:rsid w:val="00A67D1C"/>
    <w:rsid w:val="00A710AC"/>
    <w:rsid w:val="00A717AD"/>
    <w:rsid w:val="00A7186E"/>
    <w:rsid w:val="00A71FC9"/>
    <w:rsid w:val="00A725DB"/>
    <w:rsid w:val="00A72EFB"/>
    <w:rsid w:val="00A73335"/>
    <w:rsid w:val="00A73738"/>
    <w:rsid w:val="00A73D7C"/>
    <w:rsid w:val="00A73E8F"/>
    <w:rsid w:val="00A747DC"/>
    <w:rsid w:val="00A74D4E"/>
    <w:rsid w:val="00A753BD"/>
    <w:rsid w:val="00A75CED"/>
    <w:rsid w:val="00A761EE"/>
    <w:rsid w:val="00A76B33"/>
    <w:rsid w:val="00A77933"/>
    <w:rsid w:val="00A77F98"/>
    <w:rsid w:val="00A80813"/>
    <w:rsid w:val="00A80EA4"/>
    <w:rsid w:val="00A819BA"/>
    <w:rsid w:val="00A819DD"/>
    <w:rsid w:val="00A81B13"/>
    <w:rsid w:val="00A81C95"/>
    <w:rsid w:val="00A82734"/>
    <w:rsid w:val="00A83A16"/>
    <w:rsid w:val="00A83CA5"/>
    <w:rsid w:val="00A84336"/>
    <w:rsid w:val="00A84863"/>
    <w:rsid w:val="00A84EBD"/>
    <w:rsid w:val="00A84EDD"/>
    <w:rsid w:val="00A84F34"/>
    <w:rsid w:val="00A85382"/>
    <w:rsid w:val="00A857EF"/>
    <w:rsid w:val="00A8620E"/>
    <w:rsid w:val="00A864E9"/>
    <w:rsid w:val="00A86CC9"/>
    <w:rsid w:val="00A87906"/>
    <w:rsid w:val="00A87958"/>
    <w:rsid w:val="00A87E9E"/>
    <w:rsid w:val="00A901BE"/>
    <w:rsid w:val="00A904E2"/>
    <w:rsid w:val="00A90D2E"/>
    <w:rsid w:val="00A912E7"/>
    <w:rsid w:val="00A91E97"/>
    <w:rsid w:val="00A92BCF"/>
    <w:rsid w:val="00A92E1F"/>
    <w:rsid w:val="00A93095"/>
    <w:rsid w:val="00A947BA"/>
    <w:rsid w:val="00A948C8"/>
    <w:rsid w:val="00A96085"/>
    <w:rsid w:val="00A96424"/>
    <w:rsid w:val="00A978D8"/>
    <w:rsid w:val="00AA0795"/>
    <w:rsid w:val="00AA19A6"/>
    <w:rsid w:val="00AA1AED"/>
    <w:rsid w:val="00AA20B1"/>
    <w:rsid w:val="00AA262E"/>
    <w:rsid w:val="00AA2C89"/>
    <w:rsid w:val="00AA336E"/>
    <w:rsid w:val="00AA3451"/>
    <w:rsid w:val="00AA37F3"/>
    <w:rsid w:val="00AA3908"/>
    <w:rsid w:val="00AA43BD"/>
    <w:rsid w:val="00AA46E6"/>
    <w:rsid w:val="00AA48C1"/>
    <w:rsid w:val="00AA60A4"/>
    <w:rsid w:val="00AA6240"/>
    <w:rsid w:val="00AA73A8"/>
    <w:rsid w:val="00AA7B3F"/>
    <w:rsid w:val="00AB006F"/>
    <w:rsid w:val="00AB1A9F"/>
    <w:rsid w:val="00AB3037"/>
    <w:rsid w:val="00AB3184"/>
    <w:rsid w:val="00AB33F9"/>
    <w:rsid w:val="00AB3CEC"/>
    <w:rsid w:val="00AB3E8B"/>
    <w:rsid w:val="00AB4AFF"/>
    <w:rsid w:val="00AB537C"/>
    <w:rsid w:val="00AB5887"/>
    <w:rsid w:val="00AB5B81"/>
    <w:rsid w:val="00AB5C13"/>
    <w:rsid w:val="00AB5D24"/>
    <w:rsid w:val="00AB64E5"/>
    <w:rsid w:val="00AB6C31"/>
    <w:rsid w:val="00AB703C"/>
    <w:rsid w:val="00AB7213"/>
    <w:rsid w:val="00AB7442"/>
    <w:rsid w:val="00AC1226"/>
    <w:rsid w:val="00AC1686"/>
    <w:rsid w:val="00AC179A"/>
    <w:rsid w:val="00AC24F6"/>
    <w:rsid w:val="00AC299E"/>
    <w:rsid w:val="00AC2DD1"/>
    <w:rsid w:val="00AC5281"/>
    <w:rsid w:val="00AC5C6A"/>
    <w:rsid w:val="00AC65AF"/>
    <w:rsid w:val="00AC7052"/>
    <w:rsid w:val="00AC7703"/>
    <w:rsid w:val="00AC7E57"/>
    <w:rsid w:val="00AD00D9"/>
    <w:rsid w:val="00AD0558"/>
    <w:rsid w:val="00AD0964"/>
    <w:rsid w:val="00AD10E5"/>
    <w:rsid w:val="00AD1EAE"/>
    <w:rsid w:val="00AD1FF4"/>
    <w:rsid w:val="00AD23CC"/>
    <w:rsid w:val="00AD2719"/>
    <w:rsid w:val="00AD31EC"/>
    <w:rsid w:val="00AD339F"/>
    <w:rsid w:val="00AD35A4"/>
    <w:rsid w:val="00AD37F0"/>
    <w:rsid w:val="00AD3BF1"/>
    <w:rsid w:val="00AD3C2A"/>
    <w:rsid w:val="00AD3E6B"/>
    <w:rsid w:val="00AD4379"/>
    <w:rsid w:val="00AD4797"/>
    <w:rsid w:val="00AD4FA6"/>
    <w:rsid w:val="00AD5D9A"/>
    <w:rsid w:val="00AD6676"/>
    <w:rsid w:val="00AD6833"/>
    <w:rsid w:val="00AD6997"/>
    <w:rsid w:val="00AD715B"/>
    <w:rsid w:val="00AD77FA"/>
    <w:rsid w:val="00AE0E90"/>
    <w:rsid w:val="00AE1212"/>
    <w:rsid w:val="00AE1923"/>
    <w:rsid w:val="00AE1D4C"/>
    <w:rsid w:val="00AE2257"/>
    <w:rsid w:val="00AE252A"/>
    <w:rsid w:val="00AE2D96"/>
    <w:rsid w:val="00AE4168"/>
    <w:rsid w:val="00AE48A4"/>
    <w:rsid w:val="00AE4F38"/>
    <w:rsid w:val="00AE507F"/>
    <w:rsid w:val="00AE5BB3"/>
    <w:rsid w:val="00AE6873"/>
    <w:rsid w:val="00AE6D21"/>
    <w:rsid w:val="00AE7F9B"/>
    <w:rsid w:val="00AF0979"/>
    <w:rsid w:val="00AF1DE2"/>
    <w:rsid w:val="00AF2806"/>
    <w:rsid w:val="00AF406C"/>
    <w:rsid w:val="00AF428A"/>
    <w:rsid w:val="00AF436B"/>
    <w:rsid w:val="00AF498E"/>
    <w:rsid w:val="00AF4AF0"/>
    <w:rsid w:val="00AF4E90"/>
    <w:rsid w:val="00AF4FCC"/>
    <w:rsid w:val="00AF5912"/>
    <w:rsid w:val="00AF5D8B"/>
    <w:rsid w:val="00AF7341"/>
    <w:rsid w:val="00B0063B"/>
    <w:rsid w:val="00B00F17"/>
    <w:rsid w:val="00B0173C"/>
    <w:rsid w:val="00B01DB9"/>
    <w:rsid w:val="00B01E36"/>
    <w:rsid w:val="00B0346B"/>
    <w:rsid w:val="00B039CC"/>
    <w:rsid w:val="00B04AB9"/>
    <w:rsid w:val="00B04C10"/>
    <w:rsid w:val="00B0575B"/>
    <w:rsid w:val="00B068E4"/>
    <w:rsid w:val="00B068FF"/>
    <w:rsid w:val="00B10CE6"/>
    <w:rsid w:val="00B115ED"/>
    <w:rsid w:val="00B117CB"/>
    <w:rsid w:val="00B117D7"/>
    <w:rsid w:val="00B12732"/>
    <w:rsid w:val="00B1288F"/>
    <w:rsid w:val="00B13785"/>
    <w:rsid w:val="00B13B8E"/>
    <w:rsid w:val="00B142E0"/>
    <w:rsid w:val="00B15237"/>
    <w:rsid w:val="00B166DD"/>
    <w:rsid w:val="00B17A45"/>
    <w:rsid w:val="00B21F97"/>
    <w:rsid w:val="00B231BC"/>
    <w:rsid w:val="00B23573"/>
    <w:rsid w:val="00B23ABE"/>
    <w:rsid w:val="00B23B67"/>
    <w:rsid w:val="00B24B78"/>
    <w:rsid w:val="00B26797"/>
    <w:rsid w:val="00B26C98"/>
    <w:rsid w:val="00B26E4F"/>
    <w:rsid w:val="00B271E8"/>
    <w:rsid w:val="00B275D8"/>
    <w:rsid w:val="00B3111B"/>
    <w:rsid w:val="00B313F6"/>
    <w:rsid w:val="00B32506"/>
    <w:rsid w:val="00B32F66"/>
    <w:rsid w:val="00B33678"/>
    <w:rsid w:val="00B33DDF"/>
    <w:rsid w:val="00B33FD6"/>
    <w:rsid w:val="00B34AFD"/>
    <w:rsid w:val="00B3512D"/>
    <w:rsid w:val="00B354E2"/>
    <w:rsid w:val="00B358C1"/>
    <w:rsid w:val="00B36705"/>
    <w:rsid w:val="00B37073"/>
    <w:rsid w:val="00B40037"/>
    <w:rsid w:val="00B40C0D"/>
    <w:rsid w:val="00B41861"/>
    <w:rsid w:val="00B41A1A"/>
    <w:rsid w:val="00B42107"/>
    <w:rsid w:val="00B433C5"/>
    <w:rsid w:val="00B437D9"/>
    <w:rsid w:val="00B43D84"/>
    <w:rsid w:val="00B440D1"/>
    <w:rsid w:val="00B44A28"/>
    <w:rsid w:val="00B453BC"/>
    <w:rsid w:val="00B457F9"/>
    <w:rsid w:val="00B45BBA"/>
    <w:rsid w:val="00B462D8"/>
    <w:rsid w:val="00B46347"/>
    <w:rsid w:val="00B46444"/>
    <w:rsid w:val="00B4762E"/>
    <w:rsid w:val="00B4785D"/>
    <w:rsid w:val="00B507E3"/>
    <w:rsid w:val="00B52633"/>
    <w:rsid w:val="00B52EAD"/>
    <w:rsid w:val="00B52F36"/>
    <w:rsid w:val="00B5474A"/>
    <w:rsid w:val="00B54B53"/>
    <w:rsid w:val="00B54B97"/>
    <w:rsid w:val="00B55825"/>
    <w:rsid w:val="00B5594B"/>
    <w:rsid w:val="00B55E9E"/>
    <w:rsid w:val="00B56439"/>
    <w:rsid w:val="00B57320"/>
    <w:rsid w:val="00B574FC"/>
    <w:rsid w:val="00B577AE"/>
    <w:rsid w:val="00B60E24"/>
    <w:rsid w:val="00B61068"/>
    <w:rsid w:val="00B61183"/>
    <w:rsid w:val="00B6118D"/>
    <w:rsid w:val="00B6199F"/>
    <w:rsid w:val="00B62312"/>
    <w:rsid w:val="00B63653"/>
    <w:rsid w:val="00B6487A"/>
    <w:rsid w:val="00B64CDE"/>
    <w:rsid w:val="00B674BE"/>
    <w:rsid w:val="00B67A5D"/>
    <w:rsid w:val="00B67BF5"/>
    <w:rsid w:val="00B70240"/>
    <w:rsid w:val="00B70478"/>
    <w:rsid w:val="00B706E0"/>
    <w:rsid w:val="00B70A9B"/>
    <w:rsid w:val="00B70E68"/>
    <w:rsid w:val="00B71BEA"/>
    <w:rsid w:val="00B71D0E"/>
    <w:rsid w:val="00B71D2A"/>
    <w:rsid w:val="00B71D57"/>
    <w:rsid w:val="00B7236B"/>
    <w:rsid w:val="00B72616"/>
    <w:rsid w:val="00B731A4"/>
    <w:rsid w:val="00B7351F"/>
    <w:rsid w:val="00B743DF"/>
    <w:rsid w:val="00B74B6F"/>
    <w:rsid w:val="00B752A3"/>
    <w:rsid w:val="00B75640"/>
    <w:rsid w:val="00B75690"/>
    <w:rsid w:val="00B77355"/>
    <w:rsid w:val="00B77E94"/>
    <w:rsid w:val="00B80265"/>
    <w:rsid w:val="00B80321"/>
    <w:rsid w:val="00B81FA5"/>
    <w:rsid w:val="00B82B5E"/>
    <w:rsid w:val="00B863E7"/>
    <w:rsid w:val="00B8737B"/>
    <w:rsid w:val="00B8778B"/>
    <w:rsid w:val="00B87DD5"/>
    <w:rsid w:val="00B9031C"/>
    <w:rsid w:val="00B90653"/>
    <w:rsid w:val="00B925DB"/>
    <w:rsid w:val="00B9333B"/>
    <w:rsid w:val="00B93360"/>
    <w:rsid w:val="00B938E4"/>
    <w:rsid w:val="00B93E85"/>
    <w:rsid w:val="00B947BF"/>
    <w:rsid w:val="00B94CF7"/>
    <w:rsid w:val="00B94E55"/>
    <w:rsid w:val="00B94F87"/>
    <w:rsid w:val="00B951C1"/>
    <w:rsid w:val="00B95516"/>
    <w:rsid w:val="00B9556E"/>
    <w:rsid w:val="00B95DC7"/>
    <w:rsid w:val="00B96C53"/>
    <w:rsid w:val="00B97431"/>
    <w:rsid w:val="00B975CF"/>
    <w:rsid w:val="00BA0F89"/>
    <w:rsid w:val="00BA1049"/>
    <w:rsid w:val="00BA179D"/>
    <w:rsid w:val="00BA1AFD"/>
    <w:rsid w:val="00BA217B"/>
    <w:rsid w:val="00BA25A4"/>
    <w:rsid w:val="00BA2A85"/>
    <w:rsid w:val="00BA3CDC"/>
    <w:rsid w:val="00BA4159"/>
    <w:rsid w:val="00BA4525"/>
    <w:rsid w:val="00BA4BFB"/>
    <w:rsid w:val="00BA50C8"/>
    <w:rsid w:val="00BA51F6"/>
    <w:rsid w:val="00BA5B47"/>
    <w:rsid w:val="00BA5ED6"/>
    <w:rsid w:val="00BA648B"/>
    <w:rsid w:val="00BA6818"/>
    <w:rsid w:val="00BA77DE"/>
    <w:rsid w:val="00BA782E"/>
    <w:rsid w:val="00BA7A25"/>
    <w:rsid w:val="00BB05F4"/>
    <w:rsid w:val="00BB0630"/>
    <w:rsid w:val="00BB12F6"/>
    <w:rsid w:val="00BB13AC"/>
    <w:rsid w:val="00BB2F06"/>
    <w:rsid w:val="00BB3274"/>
    <w:rsid w:val="00BB3436"/>
    <w:rsid w:val="00BB3A7C"/>
    <w:rsid w:val="00BB3D9E"/>
    <w:rsid w:val="00BB48F9"/>
    <w:rsid w:val="00BB4AAA"/>
    <w:rsid w:val="00BB51DC"/>
    <w:rsid w:val="00BB5776"/>
    <w:rsid w:val="00BB5B56"/>
    <w:rsid w:val="00BB6157"/>
    <w:rsid w:val="00BB6172"/>
    <w:rsid w:val="00BB62E8"/>
    <w:rsid w:val="00BB6853"/>
    <w:rsid w:val="00BB6B0B"/>
    <w:rsid w:val="00BB6C0B"/>
    <w:rsid w:val="00BB6DEB"/>
    <w:rsid w:val="00BB6F1C"/>
    <w:rsid w:val="00BB725C"/>
    <w:rsid w:val="00BB772D"/>
    <w:rsid w:val="00BC091B"/>
    <w:rsid w:val="00BC0969"/>
    <w:rsid w:val="00BC13E1"/>
    <w:rsid w:val="00BC23C0"/>
    <w:rsid w:val="00BC265E"/>
    <w:rsid w:val="00BC2978"/>
    <w:rsid w:val="00BC3563"/>
    <w:rsid w:val="00BC3677"/>
    <w:rsid w:val="00BC39D7"/>
    <w:rsid w:val="00BC6480"/>
    <w:rsid w:val="00BC6725"/>
    <w:rsid w:val="00BC6794"/>
    <w:rsid w:val="00BC68F0"/>
    <w:rsid w:val="00BC730B"/>
    <w:rsid w:val="00BC7C23"/>
    <w:rsid w:val="00BD0750"/>
    <w:rsid w:val="00BD0E33"/>
    <w:rsid w:val="00BD1B59"/>
    <w:rsid w:val="00BD1D83"/>
    <w:rsid w:val="00BD2555"/>
    <w:rsid w:val="00BD35F1"/>
    <w:rsid w:val="00BD37BA"/>
    <w:rsid w:val="00BD383C"/>
    <w:rsid w:val="00BD4CCC"/>
    <w:rsid w:val="00BD4D8D"/>
    <w:rsid w:val="00BD5A96"/>
    <w:rsid w:val="00BD5F56"/>
    <w:rsid w:val="00BD601C"/>
    <w:rsid w:val="00BD6396"/>
    <w:rsid w:val="00BD65B3"/>
    <w:rsid w:val="00BD70AE"/>
    <w:rsid w:val="00BE0398"/>
    <w:rsid w:val="00BE057C"/>
    <w:rsid w:val="00BE0BA6"/>
    <w:rsid w:val="00BE0DCB"/>
    <w:rsid w:val="00BE1859"/>
    <w:rsid w:val="00BE24E9"/>
    <w:rsid w:val="00BE2D0C"/>
    <w:rsid w:val="00BE3B5B"/>
    <w:rsid w:val="00BE4A56"/>
    <w:rsid w:val="00BE5199"/>
    <w:rsid w:val="00BE538C"/>
    <w:rsid w:val="00BE6738"/>
    <w:rsid w:val="00BE756C"/>
    <w:rsid w:val="00BE7822"/>
    <w:rsid w:val="00BE7934"/>
    <w:rsid w:val="00BE7AC2"/>
    <w:rsid w:val="00BF01F1"/>
    <w:rsid w:val="00BF04AD"/>
    <w:rsid w:val="00BF07D6"/>
    <w:rsid w:val="00BF1740"/>
    <w:rsid w:val="00BF2184"/>
    <w:rsid w:val="00BF381C"/>
    <w:rsid w:val="00BF4733"/>
    <w:rsid w:val="00BF498B"/>
    <w:rsid w:val="00BF4EB8"/>
    <w:rsid w:val="00BF5A32"/>
    <w:rsid w:val="00BF5D42"/>
    <w:rsid w:val="00BF6690"/>
    <w:rsid w:val="00BF7E99"/>
    <w:rsid w:val="00C00469"/>
    <w:rsid w:val="00C0047B"/>
    <w:rsid w:val="00C010FA"/>
    <w:rsid w:val="00C01BB0"/>
    <w:rsid w:val="00C03FC3"/>
    <w:rsid w:val="00C042FB"/>
    <w:rsid w:val="00C05422"/>
    <w:rsid w:val="00C05541"/>
    <w:rsid w:val="00C0591B"/>
    <w:rsid w:val="00C0643E"/>
    <w:rsid w:val="00C06FD8"/>
    <w:rsid w:val="00C07AE4"/>
    <w:rsid w:val="00C10E4A"/>
    <w:rsid w:val="00C10F84"/>
    <w:rsid w:val="00C11958"/>
    <w:rsid w:val="00C11E76"/>
    <w:rsid w:val="00C1213D"/>
    <w:rsid w:val="00C129C1"/>
    <w:rsid w:val="00C13EC6"/>
    <w:rsid w:val="00C14145"/>
    <w:rsid w:val="00C14D49"/>
    <w:rsid w:val="00C15346"/>
    <w:rsid w:val="00C153CC"/>
    <w:rsid w:val="00C15E18"/>
    <w:rsid w:val="00C16A23"/>
    <w:rsid w:val="00C16DA8"/>
    <w:rsid w:val="00C174D8"/>
    <w:rsid w:val="00C17D16"/>
    <w:rsid w:val="00C202DC"/>
    <w:rsid w:val="00C20431"/>
    <w:rsid w:val="00C20D32"/>
    <w:rsid w:val="00C20DA8"/>
    <w:rsid w:val="00C20DF3"/>
    <w:rsid w:val="00C21563"/>
    <w:rsid w:val="00C21792"/>
    <w:rsid w:val="00C21910"/>
    <w:rsid w:val="00C2200C"/>
    <w:rsid w:val="00C224D0"/>
    <w:rsid w:val="00C22E4B"/>
    <w:rsid w:val="00C23E65"/>
    <w:rsid w:val="00C240D2"/>
    <w:rsid w:val="00C243CD"/>
    <w:rsid w:val="00C247FF"/>
    <w:rsid w:val="00C24886"/>
    <w:rsid w:val="00C24A19"/>
    <w:rsid w:val="00C24A20"/>
    <w:rsid w:val="00C25770"/>
    <w:rsid w:val="00C26063"/>
    <w:rsid w:val="00C262DD"/>
    <w:rsid w:val="00C2636E"/>
    <w:rsid w:val="00C268C6"/>
    <w:rsid w:val="00C26F90"/>
    <w:rsid w:val="00C27BD1"/>
    <w:rsid w:val="00C27BEB"/>
    <w:rsid w:val="00C27F83"/>
    <w:rsid w:val="00C3074B"/>
    <w:rsid w:val="00C30904"/>
    <w:rsid w:val="00C318AF"/>
    <w:rsid w:val="00C321FC"/>
    <w:rsid w:val="00C324F0"/>
    <w:rsid w:val="00C3267E"/>
    <w:rsid w:val="00C327BC"/>
    <w:rsid w:val="00C3385B"/>
    <w:rsid w:val="00C34193"/>
    <w:rsid w:val="00C35323"/>
    <w:rsid w:val="00C35747"/>
    <w:rsid w:val="00C35A2D"/>
    <w:rsid w:val="00C35E84"/>
    <w:rsid w:val="00C36531"/>
    <w:rsid w:val="00C3671C"/>
    <w:rsid w:val="00C368B2"/>
    <w:rsid w:val="00C36FB7"/>
    <w:rsid w:val="00C37102"/>
    <w:rsid w:val="00C37A49"/>
    <w:rsid w:val="00C40622"/>
    <w:rsid w:val="00C4227F"/>
    <w:rsid w:val="00C43770"/>
    <w:rsid w:val="00C43DB2"/>
    <w:rsid w:val="00C43F3C"/>
    <w:rsid w:val="00C44B2F"/>
    <w:rsid w:val="00C4508E"/>
    <w:rsid w:val="00C45B82"/>
    <w:rsid w:val="00C46905"/>
    <w:rsid w:val="00C46B0A"/>
    <w:rsid w:val="00C4786D"/>
    <w:rsid w:val="00C47DE2"/>
    <w:rsid w:val="00C50543"/>
    <w:rsid w:val="00C505BA"/>
    <w:rsid w:val="00C5092D"/>
    <w:rsid w:val="00C50D2A"/>
    <w:rsid w:val="00C512A3"/>
    <w:rsid w:val="00C5157D"/>
    <w:rsid w:val="00C52CEE"/>
    <w:rsid w:val="00C530B7"/>
    <w:rsid w:val="00C53C97"/>
    <w:rsid w:val="00C53EE3"/>
    <w:rsid w:val="00C5409B"/>
    <w:rsid w:val="00C5530F"/>
    <w:rsid w:val="00C56DA7"/>
    <w:rsid w:val="00C56EA1"/>
    <w:rsid w:val="00C57A60"/>
    <w:rsid w:val="00C57AE0"/>
    <w:rsid w:val="00C57C31"/>
    <w:rsid w:val="00C61102"/>
    <w:rsid w:val="00C617AE"/>
    <w:rsid w:val="00C620C3"/>
    <w:rsid w:val="00C62211"/>
    <w:rsid w:val="00C624A9"/>
    <w:rsid w:val="00C62B22"/>
    <w:rsid w:val="00C63304"/>
    <w:rsid w:val="00C63BC0"/>
    <w:rsid w:val="00C63D7F"/>
    <w:rsid w:val="00C64BB8"/>
    <w:rsid w:val="00C64D09"/>
    <w:rsid w:val="00C6554F"/>
    <w:rsid w:val="00C6582D"/>
    <w:rsid w:val="00C65AE0"/>
    <w:rsid w:val="00C65EA5"/>
    <w:rsid w:val="00C661CD"/>
    <w:rsid w:val="00C66925"/>
    <w:rsid w:val="00C66FFA"/>
    <w:rsid w:val="00C6779C"/>
    <w:rsid w:val="00C67A83"/>
    <w:rsid w:val="00C67BA4"/>
    <w:rsid w:val="00C7042B"/>
    <w:rsid w:val="00C7112E"/>
    <w:rsid w:val="00C71332"/>
    <w:rsid w:val="00C71A7E"/>
    <w:rsid w:val="00C71C06"/>
    <w:rsid w:val="00C7346A"/>
    <w:rsid w:val="00C736A6"/>
    <w:rsid w:val="00C73BEB"/>
    <w:rsid w:val="00C73F09"/>
    <w:rsid w:val="00C7524C"/>
    <w:rsid w:val="00C766FC"/>
    <w:rsid w:val="00C76D6D"/>
    <w:rsid w:val="00C776FD"/>
    <w:rsid w:val="00C80129"/>
    <w:rsid w:val="00C8020F"/>
    <w:rsid w:val="00C804E2"/>
    <w:rsid w:val="00C81842"/>
    <w:rsid w:val="00C8225E"/>
    <w:rsid w:val="00C83948"/>
    <w:rsid w:val="00C83C7D"/>
    <w:rsid w:val="00C83FC0"/>
    <w:rsid w:val="00C84351"/>
    <w:rsid w:val="00C848BA"/>
    <w:rsid w:val="00C84F98"/>
    <w:rsid w:val="00C852CD"/>
    <w:rsid w:val="00C85810"/>
    <w:rsid w:val="00C85A03"/>
    <w:rsid w:val="00C85DF0"/>
    <w:rsid w:val="00C86A07"/>
    <w:rsid w:val="00C8751E"/>
    <w:rsid w:val="00C8799A"/>
    <w:rsid w:val="00C901FF"/>
    <w:rsid w:val="00C903B9"/>
    <w:rsid w:val="00C906AF"/>
    <w:rsid w:val="00C91C46"/>
    <w:rsid w:val="00C92372"/>
    <w:rsid w:val="00C93087"/>
    <w:rsid w:val="00C93944"/>
    <w:rsid w:val="00C9424C"/>
    <w:rsid w:val="00C94660"/>
    <w:rsid w:val="00C94796"/>
    <w:rsid w:val="00C94C8D"/>
    <w:rsid w:val="00C953D7"/>
    <w:rsid w:val="00C955D7"/>
    <w:rsid w:val="00C95C81"/>
    <w:rsid w:val="00C95F4E"/>
    <w:rsid w:val="00C96502"/>
    <w:rsid w:val="00C971AB"/>
    <w:rsid w:val="00CA043B"/>
    <w:rsid w:val="00CA062B"/>
    <w:rsid w:val="00CA0CFC"/>
    <w:rsid w:val="00CA1D40"/>
    <w:rsid w:val="00CA2076"/>
    <w:rsid w:val="00CA2E6A"/>
    <w:rsid w:val="00CA301A"/>
    <w:rsid w:val="00CA3981"/>
    <w:rsid w:val="00CA4024"/>
    <w:rsid w:val="00CA4192"/>
    <w:rsid w:val="00CA46A4"/>
    <w:rsid w:val="00CA4B8E"/>
    <w:rsid w:val="00CA4CB1"/>
    <w:rsid w:val="00CA5A78"/>
    <w:rsid w:val="00CA68D4"/>
    <w:rsid w:val="00CA71A9"/>
    <w:rsid w:val="00CA7BBD"/>
    <w:rsid w:val="00CB0479"/>
    <w:rsid w:val="00CB0705"/>
    <w:rsid w:val="00CB0A16"/>
    <w:rsid w:val="00CB100F"/>
    <w:rsid w:val="00CB1696"/>
    <w:rsid w:val="00CB1DCD"/>
    <w:rsid w:val="00CB2774"/>
    <w:rsid w:val="00CB2A32"/>
    <w:rsid w:val="00CB4562"/>
    <w:rsid w:val="00CB47F9"/>
    <w:rsid w:val="00CB486A"/>
    <w:rsid w:val="00CB5079"/>
    <w:rsid w:val="00CB50A6"/>
    <w:rsid w:val="00CB5679"/>
    <w:rsid w:val="00CB5713"/>
    <w:rsid w:val="00CB68A2"/>
    <w:rsid w:val="00CB6A96"/>
    <w:rsid w:val="00CB731B"/>
    <w:rsid w:val="00CB7F3B"/>
    <w:rsid w:val="00CC01EB"/>
    <w:rsid w:val="00CC0A7F"/>
    <w:rsid w:val="00CC150E"/>
    <w:rsid w:val="00CC1EB3"/>
    <w:rsid w:val="00CC25FD"/>
    <w:rsid w:val="00CC27B8"/>
    <w:rsid w:val="00CC2CA2"/>
    <w:rsid w:val="00CC327F"/>
    <w:rsid w:val="00CC474A"/>
    <w:rsid w:val="00CC4C03"/>
    <w:rsid w:val="00CC4E98"/>
    <w:rsid w:val="00CC61AA"/>
    <w:rsid w:val="00CC71A0"/>
    <w:rsid w:val="00CC75C2"/>
    <w:rsid w:val="00CC778A"/>
    <w:rsid w:val="00CC7F41"/>
    <w:rsid w:val="00CD0246"/>
    <w:rsid w:val="00CD0842"/>
    <w:rsid w:val="00CD0F57"/>
    <w:rsid w:val="00CD157B"/>
    <w:rsid w:val="00CD23D6"/>
    <w:rsid w:val="00CD24F6"/>
    <w:rsid w:val="00CD2656"/>
    <w:rsid w:val="00CD365A"/>
    <w:rsid w:val="00CD3F18"/>
    <w:rsid w:val="00CD3F88"/>
    <w:rsid w:val="00CD45E3"/>
    <w:rsid w:val="00CD4B8D"/>
    <w:rsid w:val="00CD5857"/>
    <w:rsid w:val="00CD5A3F"/>
    <w:rsid w:val="00CD5FFD"/>
    <w:rsid w:val="00CD688F"/>
    <w:rsid w:val="00CE005F"/>
    <w:rsid w:val="00CE02E6"/>
    <w:rsid w:val="00CE0E91"/>
    <w:rsid w:val="00CE1043"/>
    <w:rsid w:val="00CE1A3B"/>
    <w:rsid w:val="00CE1A6D"/>
    <w:rsid w:val="00CE1F54"/>
    <w:rsid w:val="00CE246E"/>
    <w:rsid w:val="00CE31E5"/>
    <w:rsid w:val="00CE3564"/>
    <w:rsid w:val="00CE381B"/>
    <w:rsid w:val="00CE4935"/>
    <w:rsid w:val="00CE6342"/>
    <w:rsid w:val="00CE6528"/>
    <w:rsid w:val="00CE6B16"/>
    <w:rsid w:val="00CE6BB0"/>
    <w:rsid w:val="00CE6F27"/>
    <w:rsid w:val="00CE79FE"/>
    <w:rsid w:val="00CE7E16"/>
    <w:rsid w:val="00CF010F"/>
    <w:rsid w:val="00CF072B"/>
    <w:rsid w:val="00CF0ADD"/>
    <w:rsid w:val="00CF0AFE"/>
    <w:rsid w:val="00CF0D20"/>
    <w:rsid w:val="00CF1AA8"/>
    <w:rsid w:val="00CF28EE"/>
    <w:rsid w:val="00CF3159"/>
    <w:rsid w:val="00CF3BD5"/>
    <w:rsid w:val="00CF402D"/>
    <w:rsid w:val="00CF431B"/>
    <w:rsid w:val="00CF548A"/>
    <w:rsid w:val="00CF5577"/>
    <w:rsid w:val="00CF62A8"/>
    <w:rsid w:val="00CF6DF4"/>
    <w:rsid w:val="00CF6EA7"/>
    <w:rsid w:val="00CF7244"/>
    <w:rsid w:val="00CF7684"/>
    <w:rsid w:val="00D00CC6"/>
    <w:rsid w:val="00D00DEF"/>
    <w:rsid w:val="00D01366"/>
    <w:rsid w:val="00D0212E"/>
    <w:rsid w:val="00D02657"/>
    <w:rsid w:val="00D04F7B"/>
    <w:rsid w:val="00D0512C"/>
    <w:rsid w:val="00D05B9C"/>
    <w:rsid w:val="00D06211"/>
    <w:rsid w:val="00D06E9F"/>
    <w:rsid w:val="00D06FFF"/>
    <w:rsid w:val="00D0757E"/>
    <w:rsid w:val="00D07B7D"/>
    <w:rsid w:val="00D109A9"/>
    <w:rsid w:val="00D113E7"/>
    <w:rsid w:val="00D116F0"/>
    <w:rsid w:val="00D119B8"/>
    <w:rsid w:val="00D11B26"/>
    <w:rsid w:val="00D122BD"/>
    <w:rsid w:val="00D12A77"/>
    <w:rsid w:val="00D12E24"/>
    <w:rsid w:val="00D13CD4"/>
    <w:rsid w:val="00D13FF6"/>
    <w:rsid w:val="00D14332"/>
    <w:rsid w:val="00D15178"/>
    <w:rsid w:val="00D1522A"/>
    <w:rsid w:val="00D15B0C"/>
    <w:rsid w:val="00D167E6"/>
    <w:rsid w:val="00D16F9B"/>
    <w:rsid w:val="00D17611"/>
    <w:rsid w:val="00D17D94"/>
    <w:rsid w:val="00D17E36"/>
    <w:rsid w:val="00D203A5"/>
    <w:rsid w:val="00D21482"/>
    <w:rsid w:val="00D21A5A"/>
    <w:rsid w:val="00D22170"/>
    <w:rsid w:val="00D22863"/>
    <w:rsid w:val="00D22A36"/>
    <w:rsid w:val="00D23502"/>
    <w:rsid w:val="00D24213"/>
    <w:rsid w:val="00D24778"/>
    <w:rsid w:val="00D25322"/>
    <w:rsid w:val="00D25ADF"/>
    <w:rsid w:val="00D25BE6"/>
    <w:rsid w:val="00D25C2E"/>
    <w:rsid w:val="00D25FFA"/>
    <w:rsid w:val="00D264A4"/>
    <w:rsid w:val="00D269E6"/>
    <w:rsid w:val="00D26DF4"/>
    <w:rsid w:val="00D26E87"/>
    <w:rsid w:val="00D27086"/>
    <w:rsid w:val="00D2765A"/>
    <w:rsid w:val="00D27CDB"/>
    <w:rsid w:val="00D30458"/>
    <w:rsid w:val="00D30B67"/>
    <w:rsid w:val="00D30D2F"/>
    <w:rsid w:val="00D31529"/>
    <w:rsid w:val="00D3190D"/>
    <w:rsid w:val="00D3345B"/>
    <w:rsid w:val="00D33974"/>
    <w:rsid w:val="00D33C7E"/>
    <w:rsid w:val="00D346EB"/>
    <w:rsid w:val="00D35DEF"/>
    <w:rsid w:val="00D362D1"/>
    <w:rsid w:val="00D36FEC"/>
    <w:rsid w:val="00D3723B"/>
    <w:rsid w:val="00D372B6"/>
    <w:rsid w:val="00D377B1"/>
    <w:rsid w:val="00D37996"/>
    <w:rsid w:val="00D37DF7"/>
    <w:rsid w:val="00D405B2"/>
    <w:rsid w:val="00D4101C"/>
    <w:rsid w:val="00D4115A"/>
    <w:rsid w:val="00D411AB"/>
    <w:rsid w:val="00D41BD7"/>
    <w:rsid w:val="00D41E32"/>
    <w:rsid w:val="00D41F47"/>
    <w:rsid w:val="00D42078"/>
    <w:rsid w:val="00D421C9"/>
    <w:rsid w:val="00D42731"/>
    <w:rsid w:val="00D42CC1"/>
    <w:rsid w:val="00D42F6C"/>
    <w:rsid w:val="00D43A1F"/>
    <w:rsid w:val="00D44755"/>
    <w:rsid w:val="00D45EDA"/>
    <w:rsid w:val="00D46126"/>
    <w:rsid w:val="00D46268"/>
    <w:rsid w:val="00D465EF"/>
    <w:rsid w:val="00D508A9"/>
    <w:rsid w:val="00D50DFF"/>
    <w:rsid w:val="00D512A4"/>
    <w:rsid w:val="00D5138A"/>
    <w:rsid w:val="00D51A7A"/>
    <w:rsid w:val="00D521C2"/>
    <w:rsid w:val="00D52BC1"/>
    <w:rsid w:val="00D53401"/>
    <w:rsid w:val="00D5370C"/>
    <w:rsid w:val="00D53A72"/>
    <w:rsid w:val="00D53B37"/>
    <w:rsid w:val="00D54213"/>
    <w:rsid w:val="00D54F96"/>
    <w:rsid w:val="00D5509A"/>
    <w:rsid w:val="00D57027"/>
    <w:rsid w:val="00D57713"/>
    <w:rsid w:val="00D578DF"/>
    <w:rsid w:val="00D57D43"/>
    <w:rsid w:val="00D57D99"/>
    <w:rsid w:val="00D60147"/>
    <w:rsid w:val="00D60DEF"/>
    <w:rsid w:val="00D611D1"/>
    <w:rsid w:val="00D61D9D"/>
    <w:rsid w:val="00D6217D"/>
    <w:rsid w:val="00D6231B"/>
    <w:rsid w:val="00D62DFA"/>
    <w:rsid w:val="00D63ACC"/>
    <w:rsid w:val="00D65822"/>
    <w:rsid w:val="00D665D2"/>
    <w:rsid w:val="00D66949"/>
    <w:rsid w:val="00D670F8"/>
    <w:rsid w:val="00D672E0"/>
    <w:rsid w:val="00D67A60"/>
    <w:rsid w:val="00D67CAF"/>
    <w:rsid w:val="00D70016"/>
    <w:rsid w:val="00D70178"/>
    <w:rsid w:val="00D701D4"/>
    <w:rsid w:val="00D7100B"/>
    <w:rsid w:val="00D71336"/>
    <w:rsid w:val="00D71461"/>
    <w:rsid w:val="00D71471"/>
    <w:rsid w:val="00D71C56"/>
    <w:rsid w:val="00D71FF8"/>
    <w:rsid w:val="00D72473"/>
    <w:rsid w:val="00D72E14"/>
    <w:rsid w:val="00D73C72"/>
    <w:rsid w:val="00D73DDB"/>
    <w:rsid w:val="00D7519D"/>
    <w:rsid w:val="00D75281"/>
    <w:rsid w:val="00D75B25"/>
    <w:rsid w:val="00D75FC5"/>
    <w:rsid w:val="00D7657C"/>
    <w:rsid w:val="00D76BAD"/>
    <w:rsid w:val="00D76E8B"/>
    <w:rsid w:val="00D7706C"/>
    <w:rsid w:val="00D77433"/>
    <w:rsid w:val="00D776E4"/>
    <w:rsid w:val="00D80F0E"/>
    <w:rsid w:val="00D810BB"/>
    <w:rsid w:val="00D81801"/>
    <w:rsid w:val="00D8205D"/>
    <w:rsid w:val="00D82A69"/>
    <w:rsid w:val="00D844C1"/>
    <w:rsid w:val="00D846FB"/>
    <w:rsid w:val="00D84E58"/>
    <w:rsid w:val="00D8567A"/>
    <w:rsid w:val="00D860C6"/>
    <w:rsid w:val="00D86512"/>
    <w:rsid w:val="00D86695"/>
    <w:rsid w:val="00D867A8"/>
    <w:rsid w:val="00D86A06"/>
    <w:rsid w:val="00D86ABB"/>
    <w:rsid w:val="00D86AD8"/>
    <w:rsid w:val="00D87080"/>
    <w:rsid w:val="00D87115"/>
    <w:rsid w:val="00D879C1"/>
    <w:rsid w:val="00D87C32"/>
    <w:rsid w:val="00D901C9"/>
    <w:rsid w:val="00D90A77"/>
    <w:rsid w:val="00D90BA1"/>
    <w:rsid w:val="00D90EA9"/>
    <w:rsid w:val="00D91911"/>
    <w:rsid w:val="00D91B8A"/>
    <w:rsid w:val="00D9376B"/>
    <w:rsid w:val="00D93E53"/>
    <w:rsid w:val="00D93F56"/>
    <w:rsid w:val="00D9449B"/>
    <w:rsid w:val="00D94A33"/>
    <w:rsid w:val="00D97CB3"/>
    <w:rsid w:val="00DA037D"/>
    <w:rsid w:val="00DA182E"/>
    <w:rsid w:val="00DA1E23"/>
    <w:rsid w:val="00DA32AF"/>
    <w:rsid w:val="00DA33EF"/>
    <w:rsid w:val="00DA35AD"/>
    <w:rsid w:val="00DA3A33"/>
    <w:rsid w:val="00DA3EAD"/>
    <w:rsid w:val="00DA4370"/>
    <w:rsid w:val="00DA43C4"/>
    <w:rsid w:val="00DA44F1"/>
    <w:rsid w:val="00DA477A"/>
    <w:rsid w:val="00DA4973"/>
    <w:rsid w:val="00DA4FAC"/>
    <w:rsid w:val="00DA5172"/>
    <w:rsid w:val="00DA5259"/>
    <w:rsid w:val="00DA545B"/>
    <w:rsid w:val="00DA65CE"/>
    <w:rsid w:val="00DA67B4"/>
    <w:rsid w:val="00DA6B61"/>
    <w:rsid w:val="00DA6CF4"/>
    <w:rsid w:val="00DA70E8"/>
    <w:rsid w:val="00DA73AF"/>
    <w:rsid w:val="00DA7CFE"/>
    <w:rsid w:val="00DB0056"/>
    <w:rsid w:val="00DB016D"/>
    <w:rsid w:val="00DB0DD9"/>
    <w:rsid w:val="00DB0E1B"/>
    <w:rsid w:val="00DB149A"/>
    <w:rsid w:val="00DB30F4"/>
    <w:rsid w:val="00DB3A12"/>
    <w:rsid w:val="00DB3AC3"/>
    <w:rsid w:val="00DB3D95"/>
    <w:rsid w:val="00DB49CD"/>
    <w:rsid w:val="00DB59FC"/>
    <w:rsid w:val="00DB6E07"/>
    <w:rsid w:val="00DB6E98"/>
    <w:rsid w:val="00DB73D7"/>
    <w:rsid w:val="00DB7E6A"/>
    <w:rsid w:val="00DB7ED2"/>
    <w:rsid w:val="00DC0D2B"/>
    <w:rsid w:val="00DC168D"/>
    <w:rsid w:val="00DC1926"/>
    <w:rsid w:val="00DC1C01"/>
    <w:rsid w:val="00DC1DE3"/>
    <w:rsid w:val="00DC1E36"/>
    <w:rsid w:val="00DC2886"/>
    <w:rsid w:val="00DC390F"/>
    <w:rsid w:val="00DC3A85"/>
    <w:rsid w:val="00DC5DB6"/>
    <w:rsid w:val="00DC6B92"/>
    <w:rsid w:val="00DC7C54"/>
    <w:rsid w:val="00DD2301"/>
    <w:rsid w:val="00DD2520"/>
    <w:rsid w:val="00DD28FB"/>
    <w:rsid w:val="00DD2AC9"/>
    <w:rsid w:val="00DD30CB"/>
    <w:rsid w:val="00DD3791"/>
    <w:rsid w:val="00DD3820"/>
    <w:rsid w:val="00DD38C1"/>
    <w:rsid w:val="00DD3A1E"/>
    <w:rsid w:val="00DD4752"/>
    <w:rsid w:val="00DD488F"/>
    <w:rsid w:val="00DD4D46"/>
    <w:rsid w:val="00DD4DAF"/>
    <w:rsid w:val="00DD52AB"/>
    <w:rsid w:val="00DD5948"/>
    <w:rsid w:val="00DD5CE2"/>
    <w:rsid w:val="00DD6294"/>
    <w:rsid w:val="00DD67E5"/>
    <w:rsid w:val="00DD6A57"/>
    <w:rsid w:val="00DD6DE4"/>
    <w:rsid w:val="00DD72B7"/>
    <w:rsid w:val="00DD7848"/>
    <w:rsid w:val="00DD7EAF"/>
    <w:rsid w:val="00DE0FBE"/>
    <w:rsid w:val="00DE1B18"/>
    <w:rsid w:val="00DE1D5F"/>
    <w:rsid w:val="00DE20F1"/>
    <w:rsid w:val="00DE21F5"/>
    <w:rsid w:val="00DE2445"/>
    <w:rsid w:val="00DE2792"/>
    <w:rsid w:val="00DE2EB4"/>
    <w:rsid w:val="00DE3203"/>
    <w:rsid w:val="00DE34E7"/>
    <w:rsid w:val="00DE357C"/>
    <w:rsid w:val="00DE38E9"/>
    <w:rsid w:val="00DE3A21"/>
    <w:rsid w:val="00DE3CE5"/>
    <w:rsid w:val="00DE4063"/>
    <w:rsid w:val="00DE472C"/>
    <w:rsid w:val="00DE6EB9"/>
    <w:rsid w:val="00DE7B6E"/>
    <w:rsid w:val="00DF074F"/>
    <w:rsid w:val="00DF12B3"/>
    <w:rsid w:val="00DF1A16"/>
    <w:rsid w:val="00DF1C08"/>
    <w:rsid w:val="00DF21F4"/>
    <w:rsid w:val="00DF2583"/>
    <w:rsid w:val="00DF26B1"/>
    <w:rsid w:val="00DF2CE5"/>
    <w:rsid w:val="00DF2E7F"/>
    <w:rsid w:val="00DF3158"/>
    <w:rsid w:val="00DF3219"/>
    <w:rsid w:val="00DF3DA5"/>
    <w:rsid w:val="00DF4355"/>
    <w:rsid w:val="00DF4FB9"/>
    <w:rsid w:val="00DF6037"/>
    <w:rsid w:val="00DF6922"/>
    <w:rsid w:val="00E0085F"/>
    <w:rsid w:val="00E00B69"/>
    <w:rsid w:val="00E01CA7"/>
    <w:rsid w:val="00E02E95"/>
    <w:rsid w:val="00E033BA"/>
    <w:rsid w:val="00E03692"/>
    <w:rsid w:val="00E0382F"/>
    <w:rsid w:val="00E03980"/>
    <w:rsid w:val="00E041EC"/>
    <w:rsid w:val="00E047AD"/>
    <w:rsid w:val="00E056A7"/>
    <w:rsid w:val="00E058EE"/>
    <w:rsid w:val="00E06676"/>
    <w:rsid w:val="00E06A0D"/>
    <w:rsid w:val="00E06DF1"/>
    <w:rsid w:val="00E073D9"/>
    <w:rsid w:val="00E075DE"/>
    <w:rsid w:val="00E07AA3"/>
    <w:rsid w:val="00E07AB5"/>
    <w:rsid w:val="00E11DB0"/>
    <w:rsid w:val="00E1213E"/>
    <w:rsid w:val="00E1249C"/>
    <w:rsid w:val="00E125F8"/>
    <w:rsid w:val="00E12CBB"/>
    <w:rsid w:val="00E12D6C"/>
    <w:rsid w:val="00E12EDF"/>
    <w:rsid w:val="00E1448C"/>
    <w:rsid w:val="00E14B7B"/>
    <w:rsid w:val="00E14D04"/>
    <w:rsid w:val="00E1520B"/>
    <w:rsid w:val="00E15B76"/>
    <w:rsid w:val="00E16150"/>
    <w:rsid w:val="00E16787"/>
    <w:rsid w:val="00E16B28"/>
    <w:rsid w:val="00E16D2F"/>
    <w:rsid w:val="00E17B40"/>
    <w:rsid w:val="00E17D6E"/>
    <w:rsid w:val="00E17F71"/>
    <w:rsid w:val="00E21224"/>
    <w:rsid w:val="00E22E87"/>
    <w:rsid w:val="00E2360B"/>
    <w:rsid w:val="00E23C52"/>
    <w:rsid w:val="00E23C67"/>
    <w:rsid w:val="00E23CEF"/>
    <w:rsid w:val="00E240A6"/>
    <w:rsid w:val="00E24BE7"/>
    <w:rsid w:val="00E2631F"/>
    <w:rsid w:val="00E26A6B"/>
    <w:rsid w:val="00E27665"/>
    <w:rsid w:val="00E278AC"/>
    <w:rsid w:val="00E27BEE"/>
    <w:rsid w:val="00E3052B"/>
    <w:rsid w:val="00E31710"/>
    <w:rsid w:val="00E32188"/>
    <w:rsid w:val="00E32490"/>
    <w:rsid w:val="00E32616"/>
    <w:rsid w:val="00E328D8"/>
    <w:rsid w:val="00E32CE2"/>
    <w:rsid w:val="00E32D37"/>
    <w:rsid w:val="00E33C12"/>
    <w:rsid w:val="00E33C67"/>
    <w:rsid w:val="00E33F65"/>
    <w:rsid w:val="00E34142"/>
    <w:rsid w:val="00E3420B"/>
    <w:rsid w:val="00E3495E"/>
    <w:rsid w:val="00E35F46"/>
    <w:rsid w:val="00E37667"/>
    <w:rsid w:val="00E406DA"/>
    <w:rsid w:val="00E40ADA"/>
    <w:rsid w:val="00E40B89"/>
    <w:rsid w:val="00E415FC"/>
    <w:rsid w:val="00E4170E"/>
    <w:rsid w:val="00E41BE9"/>
    <w:rsid w:val="00E41D81"/>
    <w:rsid w:val="00E43398"/>
    <w:rsid w:val="00E435C9"/>
    <w:rsid w:val="00E43FB8"/>
    <w:rsid w:val="00E44214"/>
    <w:rsid w:val="00E44A83"/>
    <w:rsid w:val="00E44BFF"/>
    <w:rsid w:val="00E44C59"/>
    <w:rsid w:val="00E44E8D"/>
    <w:rsid w:val="00E4549D"/>
    <w:rsid w:val="00E45BF2"/>
    <w:rsid w:val="00E45DEA"/>
    <w:rsid w:val="00E47684"/>
    <w:rsid w:val="00E50C4C"/>
    <w:rsid w:val="00E51829"/>
    <w:rsid w:val="00E51E11"/>
    <w:rsid w:val="00E528AD"/>
    <w:rsid w:val="00E5372D"/>
    <w:rsid w:val="00E54291"/>
    <w:rsid w:val="00E5459C"/>
    <w:rsid w:val="00E549C2"/>
    <w:rsid w:val="00E557B5"/>
    <w:rsid w:val="00E56127"/>
    <w:rsid w:val="00E56BD8"/>
    <w:rsid w:val="00E56F3C"/>
    <w:rsid w:val="00E57B6A"/>
    <w:rsid w:val="00E60952"/>
    <w:rsid w:val="00E60DB2"/>
    <w:rsid w:val="00E61E23"/>
    <w:rsid w:val="00E620A6"/>
    <w:rsid w:val="00E6210D"/>
    <w:rsid w:val="00E62171"/>
    <w:rsid w:val="00E62768"/>
    <w:rsid w:val="00E6462C"/>
    <w:rsid w:val="00E65BCA"/>
    <w:rsid w:val="00E66365"/>
    <w:rsid w:val="00E666EB"/>
    <w:rsid w:val="00E6726B"/>
    <w:rsid w:val="00E676F1"/>
    <w:rsid w:val="00E676F9"/>
    <w:rsid w:val="00E67882"/>
    <w:rsid w:val="00E70455"/>
    <w:rsid w:val="00E71702"/>
    <w:rsid w:val="00E719D3"/>
    <w:rsid w:val="00E71E37"/>
    <w:rsid w:val="00E720FE"/>
    <w:rsid w:val="00E72A86"/>
    <w:rsid w:val="00E72C29"/>
    <w:rsid w:val="00E73583"/>
    <w:rsid w:val="00E74EE7"/>
    <w:rsid w:val="00E76782"/>
    <w:rsid w:val="00E76956"/>
    <w:rsid w:val="00E76A77"/>
    <w:rsid w:val="00E76B49"/>
    <w:rsid w:val="00E77030"/>
    <w:rsid w:val="00E779CB"/>
    <w:rsid w:val="00E80B80"/>
    <w:rsid w:val="00E811AD"/>
    <w:rsid w:val="00E814BC"/>
    <w:rsid w:val="00E81603"/>
    <w:rsid w:val="00E81A4E"/>
    <w:rsid w:val="00E83D1B"/>
    <w:rsid w:val="00E8420B"/>
    <w:rsid w:val="00E84722"/>
    <w:rsid w:val="00E84AB4"/>
    <w:rsid w:val="00E84B48"/>
    <w:rsid w:val="00E84EBF"/>
    <w:rsid w:val="00E8590A"/>
    <w:rsid w:val="00E85F38"/>
    <w:rsid w:val="00E861A8"/>
    <w:rsid w:val="00E86216"/>
    <w:rsid w:val="00E86ED2"/>
    <w:rsid w:val="00E8754C"/>
    <w:rsid w:val="00E87629"/>
    <w:rsid w:val="00E87846"/>
    <w:rsid w:val="00E87853"/>
    <w:rsid w:val="00E90423"/>
    <w:rsid w:val="00E9047F"/>
    <w:rsid w:val="00E90630"/>
    <w:rsid w:val="00E91621"/>
    <w:rsid w:val="00E91759"/>
    <w:rsid w:val="00E91C47"/>
    <w:rsid w:val="00E91D47"/>
    <w:rsid w:val="00E92935"/>
    <w:rsid w:val="00E949D3"/>
    <w:rsid w:val="00E94C45"/>
    <w:rsid w:val="00E95E30"/>
    <w:rsid w:val="00E96473"/>
    <w:rsid w:val="00E9686D"/>
    <w:rsid w:val="00E97928"/>
    <w:rsid w:val="00E97A5E"/>
    <w:rsid w:val="00EA0D57"/>
    <w:rsid w:val="00EA0E45"/>
    <w:rsid w:val="00EA1EAD"/>
    <w:rsid w:val="00EA205B"/>
    <w:rsid w:val="00EA4907"/>
    <w:rsid w:val="00EA4974"/>
    <w:rsid w:val="00EA4A2E"/>
    <w:rsid w:val="00EA5618"/>
    <w:rsid w:val="00EA5CB4"/>
    <w:rsid w:val="00EA5FF7"/>
    <w:rsid w:val="00EA6303"/>
    <w:rsid w:val="00EA6872"/>
    <w:rsid w:val="00EA6B90"/>
    <w:rsid w:val="00EA6EA1"/>
    <w:rsid w:val="00EA7A0F"/>
    <w:rsid w:val="00EA7FDA"/>
    <w:rsid w:val="00EB01A1"/>
    <w:rsid w:val="00EB04B5"/>
    <w:rsid w:val="00EB0B41"/>
    <w:rsid w:val="00EB1073"/>
    <w:rsid w:val="00EB1449"/>
    <w:rsid w:val="00EB199B"/>
    <w:rsid w:val="00EB210B"/>
    <w:rsid w:val="00EB269D"/>
    <w:rsid w:val="00EB2979"/>
    <w:rsid w:val="00EB2D46"/>
    <w:rsid w:val="00EB39F9"/>
    <w:rsid w:val="00EB3BCE"/>
    <w:rsid w:val="00EB47E5"/>
    <w:rsid w:val="00EB5877"/>
    <w:rsid w:val="00EB5CAD"/>
    <w:rsid w:val="00EB621E"/>
    <w:rsid w:val="00EB65A1"/>
    <w:rsid w:val="00EB6633"/>
    <w:rsid w:val="00EB6833"/>
    <w:rsid w:val="00EB684B"/>
    <w:rsid w:val="00EB7939"/>
    <w:rsid w:val="00EB7C89"/>
    <w:rsid w:val="00EC04FD"/>
    <w:rsid w:val="00EC0DD2"/>
    <w:rsid w:val="00EC0E73"/>
    <w:rsid w:val="00EC1543"/>
    <w:rsid w:val="00EC23B5"/>
    <w:rsid w:val="00EC25DC"/>
    <w:rsid w:val="00EC2C2F"/>
    <w:rsid w:val="00EC2CF2"/>
    <w:rsid w:val="00EC3159"/>
    <w:rsid w:val="00EC323A"/>
    <w:rsid w:val="00EC34E3"/>
    <w:rsid w:val="00EC3D4A"/>
    <w:rsid w:val="00EC4820"/>
    <w:rsid w:val="00EC56F1"/>
    <w:rsid w:val="00EC5DD1"/>
    <w:rsid w:val="00EC70F7"/>
    <w:rsid w:val="00EC7EB7"/>
    <w:rsid w:val="00ED053F"/>
    <w:rsid w:val="00ED1A2D"/>
    <w:rsid w:val="00ED1B17"/>
    <w:rsid w:val="00ED1CAE"/>
    <w:rsid w:val="00ED21B4"/>
    <w:rsid w:val="00ED241C"/>
    <w:rsid w:val="00ED28D4"/>
    <w:rsid w:val="00ED2F2E"/>
    <w:rsid w:val="00ED3A50"/>
    <w:rsid w:val="00ED4235"/>
    <w:rsid w:val="00ED46D7"/>
    <w:rsid w:val="00ED542F"/>
    <w:rsid w:val="00ED6A8D"/>
    <w:rsid w:val="00ED6B2E"/>
    <w:rsid w:val="00ED710B"/>
    <w:rsid w:val="00ED7133"/>
    <w:rsid w:val="00ED788F"/>
    <w:rsid w:val="00EE0223"/>
    <w:rsid w:val="00EE11F8"/>
    <w:rsid w:val="00EE27E2"/>
    <w:rsid w:val="00EE2819"/>
    <w:rsid w:val="00EE2AE0"/>
    <w:rsid w:val="00EE2EC4"/>
    <w:rsid w:val="00EE31A8"/>
    <w:rsid w:val="00EE33D3"/>
    <w:rsid w:val="00EE38B4"/>
    <w:rsid w:val="00EE392A"/>
    <w:rsid w:val="00EE3F23"/>
    <w:rsid w:val="00EE526B"/>
    <w:rsid w:val="00EE59ED"/>
    <w:rsid w:val="00EE60CE"/>
    <w:rsid w:val="00EE6168"/>
    <w:rsid w:val="00EE6853"/>
    <w:rsid w:val="00EE6C9F"/>
    <w:rsid w:val="00EE7E5F"/>
    <w:rsid w:val="00EF04B9"/>
    <w:rsid w:val="00EF067D"/>
    <w:rsid w:val="00EF105D"/>
    <w:rsid w:val="00EF24F5"/>
    <w:rsid w:val="00EF2565"/>
    <w:rsid w:val="00EF27D0"/>
    <w:rsid w:val="00EF28B1"/>
    <w:rsid w:val="00EF2DE8"/>
    <w:rsid w:val="00EF32F6"/>
    <w:rsid w:val="00EF4580"/>
    <w:rsid w:val="00EF539F"/>
    <w:rsid w:val="00EF5810"/>
    <w:rsid w:val="00EF5C4F"/>
    <w:rsid w:val="00EF662C"/>
    <w:rsid w:val="00EF6928"/>
    <w:rsid w:val="00F016E4"/>
    <w:rsid w:val="00F03C06"/>
    <w:rsid w:val="00F04097"/>
    <w:rsid w:val="00F045E2"/>
    <w:rsid w:val="00F04F56"/>
    <w:rsid w:val="00F05409"/>
    <w:rsid w:val="00F063ED"/>
    <w:rsid w:val="00F0689B"/>
    <w:rsid w:val="00F06E52"/>
    <w:rsid w:val="00F06F62"/>
    <w:rsid w:val="00F07279"/>
    <w:rsid w:val="00F07EC3"/>
    <w:rsid w:val="00F100E0"/>
    <w:rsid w:val="00F10625"/>
    <w:rsid w:val="00F1079D"/>
    <w:rsid w:val="00F10A53"/>
    <w:rsid w:val="00F11209"/>
    <w:rsid w:val="00F11C39"/>
    <w:rsid w:val="00F11CEB"/>
    <w:rsid w:val="00F1239B"/>
    <w:rsid w:val="00F1248F"/>
    <w:rsid w:val="00F1264C"/>
    <w:rsid w:val="00F13573"/>
    <w:rsid w:val="00F14673"/>
    <w:rsid w:val="00F1469A"/>
    <w:rsid w:val="00F147BE"/>
    <w:rsid w:val="00F1480E"/>
    <w:rsid w:val="00F149A3"/>
    <w:rsid w:val="00F14FB0"/>
    <w:rsid w:val="00F15443"/>
    <w:rsid w:val="00F159C3"/>
    <w:rsid w:val="00F15BD1"/>
    <w:rsid w:val="00F1677E"/>
    <w:rsid w:val="00F1767B"/>
    <w:rsid w:val="00F20E6E"/>
    <w:rsid w:val="00F20F17"/>
    <w:rsid w:val="00F211C1"/>
    <w:rsid w:val="00F21EEB"/>
    <w:rsid w:val="00F23077"/>
    <w:rsid w:val="00F234F2"/>
    <w:rsid w:val="00F23B62"/>
    <w:rsid w:val="00F23BCE"/>
    <w:rsid w:val="00F25F15"/>
    <w:rsid w:val="00F26877"/>
    <w:rsid w:val="00F26C20"/>
    <w:rsid w:val="00F27165"/>
    <w:rsid w:val="00F27A80"/>
    <w:rsid w:val="00F30562"/>
    <w:rsid w:val="00F30CB3"/>
    <w:rsid w:val="00F312E0"/>
    <w:rsid w:val="00F3163A"/>
    <w:rsid w:val="00F31A97"/>
    <w:rsid w:val="00F31E33"/>
    <w:rsid w:val="00F320EB"/>
    <w:rsid w:val="00F32803"/>
    <w:rsid w:val="00F3289C"/>
    <w:rsid w:val="00F32E30"/>
    <w:rsid w:val="00F3344A"/>
    <w:rsid w:val="00F3372C"/>
    <w:rsid w:val="00F33FEC"/>
    <w:rsid w:val="00F35842"/>
    <w:rsid w:val="00F36501"/>
    <w:rsid w:val="00F36694"/>
    <w:rsid w:val="00F36CD4"/>
    <w:rsid w:val="00F3767D"/>
    <w:rsid w:val="00F37B21"/>
    <w:rsid w:val="00F4093E"/>
    <w:rsid w:val="00F4170C"/>
    <w:rsid w:val="00F41879"/>
    <w:rsid w:val="00F41CFF"/>
    <w:rsid w:val="00F421CE"/>
    <w:rsid w:val="00F4243B"/>
    <w:rsid w:val="00F42646"/>
    <w:rsid w:val="00F42EA6"/>
    <w:rsid w:val="00F43598"/>
    <w:rsid w:val="00F43A0D"/>
    <w:rsid w:val="00F43F6D"/>
    <w:rsid w:val="00F45A39"/>
    <w:rsid w:val="00F4667C"/>
    <w:rsid w:val="00F46963"/>
    <w:rsid w:val="00F47047"/>
    <w:rsid w:val="00F501D2"/>
    <w:rsid w:val="00F50392"/>
    <w:rsid w:val="00F50828"/>
    <w:rsid w:val="00F50AA7"/>
    <w:rsid w:val="00F511C1"/>
    <w:rsid w:val="00F52B07"/>
    <w:rsid w:val="00F53002"/>
    <w:rsid w:val="00F539E3"/>
    <w:rsid w:val="00F54714"/>
    <w:rsid w:val="00F54BA2"/>
    <w:rsid w:val="00F54BD5"/>
    <w:rsid w:val="00F54F48"/>
    <w:rsid w:val="00F558D4"/>
    <w:rsid w:val="00F55FFC"/>
    <w:rsid w:val="00F56F60"/>
    <w:rsid w:val="00F577C6"/>
    <w:rsid w:val="00F57800"/>
    <w:rsid w:val="00F603F5"/>
    <w:rsid w:val="00F6185D"/>
    <w:rsid w:val="00F62238"/>
    <w:rsid w:val="00F62391"/>
    <w:rsid w:val="00F62A2D"/>
    <w:rsid w:val="00F6350B"/>
    <w:rsid w:val="00F63A0E"/>
    <w:rsid w:val="00F642E8"/>
    <w:rsid w:val="00F64B72"/>
    <w:rsid w:val="00F64FC3"/>
    <w:rsid w:val="00F6516D"/>
    <w:rsid w:val="00F65A96"/>
    <w:rsid w:val="00F65B4B"/>
    <w:rsid w:val="00F66F43"/>
    <w:rsid w:val="00F679A1"/>
    <w:rsid w:val="00F7113A"/>
    <w:rsid w:val="00F7132A"/>
    <w:rsid w:val="00F71859"/>
    <w:rsid w:val="00F721EA"/>
    <w:rsid w:val="00F72B0E"/>
    <w:rsid w:val="00F72BF8"/>
    <w:rsid w:val="00F72D40"/>
    <w:rsid w:val="00F72F42"/>
    <w:rsid w:val="00F731D2"/>
    <w:rsid w:val="00F73A5D"/>
    <w:rsid w:val="00F73C9D"/>
    <w:rsid w:val="00F73CF7"/>
    <w:rsid w:val="00F73E94"/>
    <w:rsid w:val="00F74FA0"/>
    <w:rsid w:val="00F75320"/>
    <w:rsid w:val="00F75913"/>
    <w:rsid w:val="00F76222"/>
    <w:rsid w:val="00F766A0"/>
    <w:rsid w:val="00F76D63"/>
    <w:rsid w:val="00F77748"/>
    <w:rsid w:val="00F77E2A"/>
    <w:rsid w:val="00F8050A"/>
    <w:rsid w:val="00F80C8A"/>
    <w:rsid w:val="00F81169"/>
    <w:rsid w:val="00F8129E"/>
    <w:rsid w:val="00F8204F"/>
    <w:rsid w:val="00F82251"/>
    <w:rsid w:val="00F83339"/>
    <w:rsid w:val="00F83651"/>
    <w:rsid w:val="00F84776"/>
    <w:rsid w:val="00F84CA9"/>
    <w:rsid w:val="00F85A8A"/>
    <w:rsid w:val="00F85E5F"/>
    <w:rsid w:val="00F8681C"/>
    <w:rsid w:val="00F86A87"/>
    <w:rsid w:val="00F86C07"/>
    <w:rsid w:val="00F87678"/>
    <w:rsid w:val="00F87A7C"/>
    <w:rsid w:val="00F912FF"/>
    <w:rsid w:val="00F91577"/>
    <w:rsid w:val="00F91AC5"/>
    <w:rsid w:val="00F933AD"/>
    <w:rsid w:val="00F9431A"/>
    <w:rsid w:val="00F94CF3"/>
    <w:rsid w:val="00F957C9"/>
    <w:rsid w:val="00F95AE4"/>
    <w:rsid w:val="00F96182"/>
    <w:rsid w:val="00F963DA"/>
    <w:rsid w:val="00F9643D"/>
    <w:rsid w:val="00F96646"/>
    <w:rsid w:val="00F967F7"/>
    <w:rsid w:val="00F969B9"/>
    <w:rsid w:val="00FA106A"/>
    <w:rsid w:val="00FA1EC5"/>
    <w:rsid w:val="00FA2240"/>
    <w:rsid w:val="00FA27B3"/>
    <w:rsid w:val="00FA5B44"/>
    <w:rsid w:val="00FA68B5"/>
    <w:rsid w:val="00FA711F"/>
    <w:rsid w:val="00FA7753"/>
    <w:rsid w:val="00FA77BD"/>
    <w:rsid w:val="00FB0560"/>
    <w:rsid w:val="00FB1834"/>
    <w:rsid w:val="00FB188E"/>
    <w:rsid w:val="00FB20FB"/>
    <w:rsid w:val="00FB21C9"/>
    <w:rsid w:val="00FB240E"/>
    <w:rsid w:val="00FB280F"/>
    <w:rsid w:val="00FB3415"/>
    <w:rsid w:val="00FB35FD"/>
    <w:rsid w:val="00FB44B4"/>
    <w:rsid w:val="00FB5309"/>
    <w:rsid w:val="00FB536C"/>
    <w:rsid w:val="00FB5814"/>
    <w:rsid w:val="00FB645F"/>
    <w:rsid w:val="00FB791F"/>
    <w:rsid w:val="00FB7943"/>
    <w:rsid w:val="00FB7C6D"/>
    <w:rsid w:val="00FB7F47"/>
    <w:rsid w:val="00FC1B2C"/>
    <w:rsid w:val="00FC2034"/>
    <w:rsid w:val="00FC247E"/>
    <w:rsid w:val="00FC24E9"/>
    <w:rsid w:val="00FC2C6F"/>
    <w:rsid w:val="00FC2DF9"/>
    <w:rsid w:val="00FC317E"/>
    <w:rsid w:val="00FC3FA0"/>
    <w:rsid w:val="00FC49E2"/>
    <w:rsid w:val="00FC4C5F"/>
    <w:rsid w:val="00FC503A"/>
    <w:rsid w:val="00FC58F4"/>
    <w:rsid w:val="00FC6D9B"/>
    <w:rsid w:val="00FC74D0"/>
    <w:rsid w:val="00FC7517"/>
    <w:rsid w:val="00FC799F"/>
    <w:rsid w:val="00FD0020"/>
    <w:rsid w:val="00FD007A"/>
    <w:rsid w:val="00FD11D9"/>
    <w:rsid w:val="00FD11F8"/>
    <w:rsid w:val="00FD1613"/>
    <w:rsid w:val="00FD18ED"/>
    <w:rsid w:val="00FD36F8"/>
    <w:rsid w:val="00FD3F57"/>
    <w:rsid w:val="00FD4326"/>
    <w:rsid w:val="00FD4BC6"/>
    <w:rsid w:val="00FD56DD"/>
    <w:rsid w:val="00FD5C7D"/>
    <w:rsid w:val="00FD6A99"/>
    <w:rsid w:val="00FD6EFD"/>
    <w:rsid w:val="00FD70DF"/>
    <w:rsid w:val="00FE098C"/>
    <w:rsid w:val="00FE0AF5"/>
    <w:rsid w:val="00FE0BAC"/>
    <w:rsid w:val="00FE0D21"/>
    <w:rsid w:val="00FE162B"/>
    <w:rsid w:val="00FE21E9"/>
    <w:rsid w:val="00FE2D16"/>
    <w:rsid w:val="00FE31B2"/>
    <w:rsid w:val="00FE3665"/>
    <w:rsid w:val="00FE3716"/>
    <w:rsid w:val="00FE3D20"/>
    <w:rsid w:val="00FE4D74"/>
    <w:rsid w:val="00FE4FCE"/>
    <w:rsid w:val="00FE5355"/>
    <w:rsid w:val="00FE559F"/>
    <w:rsid w:val="00FE6B63"/>
    <w:rsid w:val="00FE6C1B"/>
    <w:rsid w:val="00FE7473"/>
    <w:rsid w:val="00FE77A6"/>
    <w:rsid w:val="00FE78C0"/>
    <w:rsid w:val="00FE7B51"/>
    <w:rsid w:val="00FF0CD1"/>
    <w:rsid w:val="00FF0F4C"/>
    <w:rsid w:val="00FF2CF2"/>
    <w:rsid w:val="00FF33A9"/>
    <w:rsid w:val="00FF3582"/>
    <w:rsid w:val="00FF3907"/>
    <w:rsid w:val="00FF3BC9"/>
    <w:rsid w:val="00FF42B1"/>
    <w:rsid w:val="00FF4F68"/>
    <w:rsid w:val="00FF5044"/>
    <w:rsid w:val="00FF52DE"/>
    <w:rsid w:val="00FF565C"/>
    <w:rsid w:val="00FF5F0C"/>
    <w:rsid w:val="00FF601C"/>
    <w:rsid w:val="00FF61B2"/>
    <w:rsid w:val="00FF64BE"/>
    <w:rsid w:val="00FF70B5"/>
    <w:rsid w:val="00FF7189"/>
    <w:rsid w:val="00FF7715"/>
    <w:rsid w:val="00FF7721"/>
    <w:rsid w:val="00FF7F30"/>
    <w:rsid w:val="011A11A4"/>
    <w:rsid w:val="014B5B44"/>
    <w:rsid w:val="018C5F7F"/>
    <w:rsid w:val="01BE4069"/>
    <w:rsid w:val="01BE5800"/>
    <w:rsid w:val="01C66FA2"/>
    <w:rsid w:val="01E46F65"/>
    <w:rsid w:val="02E536DD"/>
    <w:rsid w:val="03F06C42"/>
    <w:rsid w:val="041B3357"/>
    <w:rsid w:val="04C34346"/>
    <w:rsid w:val="04E30437"/>
    <w:rsid w:val="05F41FAA"/>
    <w:rsid w:val="063B78DC"/>
    <w:rsid w:val="073B2185"/>
    <w:rsid w:val="0767723F"/>
    <w:rsid w:val="076E0F6D"/>
    <w:rsid w:val="07E84F31"/>
    <w:rsid w:val="0839529D"/>
    <w:rsid w:val="09974C33"/>
    <w:rsid w:val="09B82947"/>
    <w:rsid w:val="0AB5719A"/>
    <w:rsid w:val="0BF958C7"/>
    <w:rsid w:val="0C143CD0"/>
    <w:rsid w:val="0C284900"/>
    <w:rsid w:val="0C395F54"/>
    <w:rsid w:val="0C3F3332"/>
    <w:rsid w:val="0C5A09A9"/>
    <w:rsid w:val="0CAE532F"/>
    <w:rsid w:val="0CDB719E"/>
    <w:rsid w:val="0DF04A5D"/>
    <w:rsid w:val="0E0812B7"/>
    <w:rsid w:val="0EAB6A73"/>
    <w:rsid w:val="0F4D0707"/>
    <w:rsid w:val="0FBA2A45"/>
    <w:rsid w:val="0FC41654"/>
    <w:rsid w:val="0FDE7285"/>
    <w:rsid w:val="11280AE6"/>
    <w:rsid w:val="11511F61"/>
    <w:rsid w:val="118C2ED5"/>
    <w:rsid w:val="11B83D31"/>
    <w:rsid w:val="123F6BB3"/>
    <w:rsid w:val="12795B29"/>
    <w:rsid w:val="12F62B63"/>
    <w:rsid w:val="13696837"/>
    <w:rsid w:val="13B31AEC"/>
    <w:rsid w:val="13FE3FBA"/>
    <w:rsid w:val="140E1568"/>
    <w:rsid w:val="14404369"/>
    <w:rsid w:val="155F49E2"/>
    <w:rsid w:val="175D674F"/>
    <w:rsid w:val="179C1549"/>
    <w:rsid w:val="17CD2550"/>
    <w:rsid w:val="18114189"/>
    <w:rsid w:val="187C6497"/>
    <w:rsid w:val="18AE30EB"/>
    <w:rsid w:val="18D307C3"/>
    <w:rsid w:val="18F06F2D"/>
    <w:rsid w:val="19421A22"/>
    <w:rsid w:val="19AD7F51"/>
    <w:rsid w:val="19E46B61"/>
    <w:rsid w:val="1BA50D14"/>
    <w:rsid w:val="1BA677E7"/>
    <w:rsid w:val="1BDA7454"/>
    <w:rsid w:val="1C000916"/>
    <w:rsid w:val="1C625D30"/>
    <w:rsid w:val="1C7671E3"/>
    <w:rsid w:val="1C777601"/>
    <w:rsid w:val="1C8A493E"/>
    <w:rsid w:val="1C9E0249"/>
    <w:rsid w:val="1CBD494F"/>
    <w:rsid w:val="1CCB6998"/>
    <w:rsid w:val="1CD6623F"/>
    <w:rsid w:val="1CF90898"/>
    <w:rsid w:val="1CFA0FE7"/>
    <w:rsid w:val="1D082136"/>
    <w:rsid w:val="1D8C69C4"/>
    <w:rsid w:val="1DCD6699"/>
    <w:rsid w:val="1E1C7C6C"/>
    <w:rsid w:val="1E786F00"/>
    <w:rsid w:val="1F1F65F5"/>
    <w:rsid w:val="1F343C02"/>
    <w:rsid w:val="1F7905AE"/>
    <w:rsid w:val="1FAC7E53"/>
    <w:rsid w:val="1FB7496C"/>
    <w:rsid w:val="1FC517F2"/>
    <w:rsid w:val="1FD504CE"/>
    <w:rsid w:val="203E7119"/>
    <w:rsid w:val="204C2FA1"/>
    <w:rsid w:val="20517FE3"/>
    <w:rsid w:val="205E17D1"/>
    <w:rsid w:val="20B97E50"/>
    <w:rsid w:val="20CE2C18"/>
    <w:rsid w:val="2142683B"/>
    <w:rsid w:val="217C1DAF"/>
    <w:rsid w:val="218220DE"/>
    <w:rsid w:val="21D53029"/>
    <w:rsid w:val="22130B27"/>
    <w:rsid w:val="222C76C6"/>
    <w:rsid w:val="22466CF3"/>
    <w:rsid w:val="228E7DB4"/>
    <w:rsid w:val="22A344E7"/>
    <w:rsid w:val="22DE3197"/>
    <w:rsid w:val="230E0741"/>
    <w:rsid w:val="23F63E16"/>
    <w:rsid w:val="243A32C2"/>
    <w:rsid w:val="25093A3B"/>
    <w:rsid w:val="25236D0D"/>
    <w:rsid w:val="252F645D"/>
    <w:rsid w:val="258858A9"/>
    <w:rsid w:val="26757E2C"/>
    <w:rsid w:val="26790701"/>
    <w:rsid w:val="273508EE"/>
    <w:rsid w:val="27483692"/>
    <w:rsid w:val="276F6E45"/>
    <w:rsid w:val="278066D7"/>
    <w:rsid w:val="27827B0F"/>
    <w:rsid w:val="27886287"/>
    <w:rsid w:val="27F53526"/>
    <w:rsid w:val="27FA5E76"/>
    <w:rsid w:val="28690FE5"/>
    <w:rsid w:val="288E2BD2"/>
    <w:rsid w:val="28BA6634"/>
    <w:rsid w:val="28DC50AB"/>
    <w:rsid w:val="28E55271"/>
    <w:rsid w:val="2923374B"/>
    <w:rsid w:val="29BD796F"/>
    <w:rsid w:val="2AAC3644"/>
    <w:rsid w:val="2AC546FE"/>
    <w:rsid w:val="2B563448"/>
    <w:rsid w:val="2B8946FF"/>
    <w:rsid w:val="2C0A4741"/>
    <w:rsid w:val="2CB360F7"/>
    <w:rsid w:val="2CF86E08"/>
    <w:rsid w:val="2D5A3C81"/>
    <w:rsid w:val="2D9B15EF"/>
    <w:rsid w:val="2E304308"/>
    <w:rsid w:val="2EB26D79"/>
    <w:rsid w:val="2F7145F4"/>
    <w:rsid w:val="2F7563FA"/>
    <w:rsid w:val="30580298"/>
    <w:rsid w:val="30646F90"/>
    <w:rsid w:val="30CB0402"/>
    <w:rsid w:val="324D2681"/>
    <w:rsid w:val="32CC59DA"/>
    <w:rsid w:val="33E901C3"/>
    <w:rsid w:val="34457450"/>
    <w:rsid w:val="34BB368D"/>
    <w:rsid w:val="35373F98"/>
    <w:rsid w:val="363B7932"/>
    <w:rsid w:val="36D15C2A"/>
    <w:rsid w:val="36FA4BBC"/>
    <w:rsid w:val="371D61FE"/>
    <w:rsid w:val="374B5AC3"/>
    <w:rsid w:val="3793414D"/>
    <w:rsid w:val="38187E4F"/>
    <w:rsid w:val="3820445B"/>
    <w:rsid w:val="38210467"/>
    <w:rsid w:val="38401B73"/>
    <w:rsid w:val="384B1D2A"/>
    <w:rsid w:val="394F2FEC"/>
    <w:rsid w:val="39780BBB"/>
    <w:rsid w:val="39D617F2"/>
    <w:rsid w:val="3A1E77FC"/>
    <w:rsid w:val="3A39348E"/>
    <w:rsid w:val="3AA107FF"/>
    <w:rsid w:val="3ADC1D77"/>
    <w:rsid w:val="3AF42E1B"/>
    <w:rsid w:val="3B2A0FAA"/>
    <w:rsid w:val="3B2F4C3F"/>
    <w:rsid w:val="3B731AB5"/>
    <w:rsid w:val="3B833738"/>
    <w:rsid w:val="3B874762"/>
    <w:rsid w:val="3C2527C5"/>
    <w:rsid w:val="3CD07840"/>
    <w:rsid w:val="3D3F3F96"/>
    <w:rsid w:val="3D6F75C9"/>
    <w:rsid w:val="3DAD0F54"/>
    <w:rsid w:val="3DE90F01"/>
    <w:rsid w:val="3E266E35"/>
    <w:rsid w:val="3EB40467"/>
    <w:rsid w:val="3F7F04D5"/>
    <w:rsid w:val="3FBA56AD"/>
    <w:rsid w:val="40A005F0"/>
    <w:rsid w:val="417E1386"/>
    <w:rsid w:val="418E2292"/>
    <w:rsid w:val="422B6BF4"/>
    <w:rsid w:val="42347713"/>
    <w:rsid w:val="425E2454"/>
    <w:rsid w:val="43B00A8F"/>
    <w:rsid w:val="452F1714"/>
    <w:rsid w:val="45511B47"/>
    <w:rsid w:val="45A15DDB"/>
    <w:rsid w:val="45B22926"/>
    <w:rsid w:val="45D6206A"/>
    <w:rsid w:val="46550108"/>
    <w:rsid w:val="4681712C"/>
    <w:rsid w:val="468B6718"/>
    <w:rsid w:val="46AC5E6E"/>
    <w:rsid w:val="473B23EB"/>
    <w:rsid w:val="47B32EAB"/>
    <w:rsid w:val="47C40E8C"/>
    <w:rsid w:val="48B1218F"/>
    <w:rsid w:val="48B14AB0"/>
    <w:rsid w:val="48D6123C"/>
    <w:rsid w:val="48DF285B"/>
    <w:rsid w:val="49150F51"/>
    <w:rsid w:val="49480BD4"/>
    <w:rsid w:val="499F04DF"/>
    <w:rsid w:val="49B64C88"/>
    <w:rsid w:val="49CB3BFF"/>
    <w:rsid w:val="4AA4619B"/>
    <w:rsid w:val="4B284D77"/>
    <w:rsid w:val="4BEC1507"/>
    <w:rsid w:val="4CD363C9"/>
    <w:rsid w:val="4D7F6702"/>
    <w:rsid w:val="4DCD3408"/>
    <w:rsid w:val="4F123950"/>
    <w:rsid w:val="4F134C73"/>
    <w:rsid w:val="500373A2"/>
    <w:rsid w:val="507519D9"/>
    <w:rsid w:val="50EC442B"/>
    <w:rsid w:val="52127D7D"/>
    <w:rsid w:val="52412A63"/>
    <w:rsid w:val="52D400C3"/>
    <w:rsid w:val="53763D4D"/>
    <w:rsid w:val="54135280"/>
    <w:rsid w:val="546713B8"/>
    <w:rsid w:val="5526139C"/>
    <w:rsid w:val="552B2D26"/>
    <w:rsid w:val="554E1470"/>
    <w:rsid w:val="55986D51"/>
    <w:rsid w:val="55D42624"/>
    <w:rsid w:val="56133CA0"/>
    <w:rsid w:val="56DD4ABD"/>
    <w:rsid w:val="5703231E"/>
    <w:rsid w:val="570F1328"/>
    <w:rsid w:val="57116442"/>
    <w:rsid w:val="573D0CDB"/>
    <w:rsid w:val="578D3493"/>
    <w:rsid w:val="586A7A45"/>
    <w:rsid w:val="588F7387"/>
    <w:rsid w:val="58914C8B"/>
    <w:rsid w:val="58E3423E"/>
    <w:rsid w:val="58F23ED5"/>
    <w:rsid w:val="5956205C"/>
    <w:rsid w:val="59774744"/>
    <w:rsid w:val="599E6CB8"/>
    <w:rsid w:val="59E031E2"/>
    <w:rsid w:val="5A87220E"/>
    <w:rsid w:val="5AA974E8"/>
    <w:rsid w:val="5AF54311"/>
    <w:rsid w:val="5B8340E7"/>
    <w:rsid w:val="5B8D0599"/>
    <w:rsid w:val="5B937814"/>
    <w:rsid w:val="5BA627EA"/>
    <w:rsid w:val="5BAA125C"/>
    <w:rsid w:val="5C6E79F1"/>
    <w:rsid w:val="5C8657B1"/>
    <w:rsid w:val="5CA73484"/>
    <w:rsid w:val="5CE5499C"/>
    <w:rsid w:val="5D77243C"/>
    <w:rsid w:val="5DBD16F0"/>
    <w:rsid w:val="5E2F13E4"/>
    <w:rsid w:val="5EC546B7"/>
    <w:rsid w:val="5EE01513"/>
    <w:rsid w:val="5FA9036D"/>
    <w:rsid w:val="5FE20A6A"/>
    <w:rsid w:val="5FE5609B"/>
    <w:rsid w:val="5FE80DF1"/>
    <w:rsid w:val="60394F33"/>
    <w:rsid w:val="607A028C"/>
    <w:rsid w:val="61904268"/>
    <w:rsid w:val="61922827"/>
    <w:rsid w:val="61985AAE"/>
    <w:rsid w:val="619B21A0"/>
    <w:rsid w:val="61C95215"/>
    <w:rsid w:val="61D04B09"/>
    <w:rsid w:val="620863D2"/>
    <w:rsid w:val="626058BD"/>
    <w:rsid w:val="627F7E48"/>
    <w:rsid w:val="62B0612D"/>
    <w:rsid w:val="62D70238"/>
    <w:rsid w:val="634E5810"/>
    <w:rsid w:val="63862B63"/>
    <w:rsid w:val="63A81226"/>
    <w:rsid w:val="63A85CAB"/>
    <w:rsid w:val="63E44C6E"/>
    <w:rsid w:val="642612F9"/>
    <w:rsid w:val="650A079C"/>
    <w:rsid w:val="65E5355A"/>
    <w:rsid w:val="674A3D4F"/>
    <w:rsid w:val="679006E0"/>
    <w:rsid w:val="6864772D"/>
    <w:rsid w:val="68BC6A3B"/>
    <w:rsid w:val="6A121AD7"/>
    <w:rsid w:val="6A3C248C"/>
    <w:rsid w:val="6A7B6A1C"/>
    <w:rsid w:val="6AD23B35"/>
    <w:rsid w:val="6B385C9F"/>
    <w:rsid w:val="6B99520C"/>
    <w:rsid w:val="6C3226C6"/>
    <w:rsid w:val="6C545FF5"/>
    <w:rsid w:val="6C591BE2"/>
    <w:rsid w:val="6CFF5543"/>
    <w:rsid w:val="6D0C6D61"/>
    <w:rsid w:val="6E0A4A26"/>
    <w:rsid w:val="6E5E1B6C"/>
    <w:rsid w:val="6EEF71D1"/>
    <w:rsid w:val="6F021A16"/>
    <w:rsid w:val="6F1D40CE"/>
    <w:rsid w:val="6FCE0F7C"/>
    <w:rsid w:val="7051517A"/>
    <w:rsid w:val="70D85BD1"/>
    <w:rsid w:val="71003FE0"/>
    <w:rsid w:val="71124305"/>
    <w:rsid w:val="715B338A"/>
    <w:rsid w:val="716A7ADC"/>
    <w:rsid w:val="71DE2E53"/>
    <w:rsid w:val="72014278"/>
    <w:rsid w:val="721F39FF"/>
    <w:rsid w:val="724F6DF1"/>
    <w:rsid w:val="729E121E"/>
    <w:rsid w:val="72CD0809"/>
    <w:rsid w:val="72E23A7A"/>
    <w:rsid w:val="72F6179B"/>
    <w:rsid w:val="738003CA"/>
    <w:rsid w:val="73C56EED"/>
    <w:rsid w:val="73F2038F"/>
    <w:rsid w:val="74D1140E"/>
    <w:rsid w:val="758D4AB4"/>
    <w:rsid w:val="75A569F5"/>
    <w:rsid w:val="75D12961"/>
    <w:rsid w:val="763B5101"/>
    <w:rsid w:val="765941C5"/>
    <w:rsid w:val="76C5079C"/>
    <w:rsid w:val="76F40C70"/>
    <w:rsid w:val="773B6CD4"/>
    <w:rsid w:val="77E30949"/>
    <w:rsid w:val="77F06BBC"/>
    <w:rsid w:val="77F16A53"/>
    <w:rsid w:val="783525A0"/>
    <w:rsid w:val="786F12BD"/>
    <w:rsid w:val="786F1AA9"/>
    <w:rsid w:val="7872551D"/>
    <w:rsid w:val="78EA7D4E"/>
    <w:rsid w:val="7920071D"/>
    <w:rsid w:val="79A042EE"/>
    <w:rsid w:val="79C52BC7"/>
    <w:rsid w:val="79C747F6"/>
    <w:rsid w:val="7A36659D"/>
    <w:rsid w:val="7A6027C1"/>
    <w:rsid w:val="7A854A12"/>
    <w:rsid w:val="7ACC3840"/>
    <w:rsid w:val="7AE64955"/>
    <w:rsid w:val="7B237820"/>
    <w:rsid w:val="7B974622"/>
    <w:rsid w:val="7BDE67A2"/>
    <w:rsid w:val="7BEE0730"/>
    <w:rsid w:val="7D4E72F0"/>
    <w:rsid w:val="7E9219F9"/>
    <w:rsid w:val="7EF87B3E"/>
    <w:rsid w:val="7F92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5"/>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88"/>
    <w:qFormat/>
    <w:uiPriority w:val="0"/>
    <w:pPr>
      <w:keepNext/>
      <w:keepLines/>
      <w:spacing w:before="260" w:after="260" w:line="413" w:lineRule="auto"/>
      <w:outlineLvl w:val="2"/>
    </w:pPr>
    <w:rPr>
      <w:b/>
      <w:bCs/>
      <w:sz w:val="32"/>
      <w:szCs w:val="32"/>
    </w:rPr>
  </w:style>
  <w:style w:type="paragraph" w:styleId="5">
    <w:name w:val="heading 4"/>
    <w:basedOn w:val="1"/>
    <w:next w:val="1"/>
    <w:link w:val="77"/>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link w:val="60"/>
    <w:qFormat/>
    <w:uiPriority w:val="0"/>
    <w:pPr>
      <w:keepNext/>
      <w:keepLines/>
      <w:spacing w:before="280" w:after="290" w:line="372" w:lineRule="auto"/>
      <w:outlineLvl w:val="4"/>
    </w:pPr>
    <w:rPr>
      <w:b/>
      <w:sz w:val="28"/>
    </w:rPr>
  </w:style>
  <w:style w:type="paragraph" w:styleId="8">
    <w:name w:val="heading 6"/>
    <w:basedOn w:val="1"/>
    <w:next w:val="7"/>
    <w:link w:val="67"/>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7"/>
    <w:link w:val="94"/>
    <w:qFormat/>
    <w:uiPriority w:val="0"/>
    <w:pPr>
      <w:keepNext/>
      <w:keepLines/>
      <w:spacing w:before="240" w:after="64" w:line="317" w:lineRule="auto"/>
      <w:outlineLvl w:val="6"/>
    </w:pPr>
    <w:rPr>
      <w:b/>
      <w:sz w:val="24"/>
    </w:rPr>
  </w:style>
  <w:style w:type="paragraph" w:styleId="10">
    <w:name w:val="heading 8"/>
    <w:basedOn w:val="1"/>
    <w:next w:val="7"/>
    <w:link w:val="54"/>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7"/>
    <w:link w:val="65"/>
    <w:qFormat/>
    <w:uiPriority w:val="0"/>
    <w:pPr>
      <w:keepNext/>
      <w:keepLines/>
      <w:spacing w:before="240" w:after="64" w:line="317"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List 3"/>
    <w:basedOn w:val="1"/>
    <w:qFormat/>
    <w:uiPriority w:val="0"/>
    <w:pPr>
      <w:ind w:left="100" w:leftChars="400" w:hanging="200" w:hangingChars="200"/>
    </w:pPr>
  </w:style>
  <w:style w:type="paragraph" w:styleId="13">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link w:val="78"/>
    <w:qFormat/>
    <w:uiPriority w:val="0"/>
    <w:pPr>
      <w:shd w:val="clear" w:color="auto" w:fill="000080"/>
      <w:adjustRightInd w:val="0"/>
      <w:spacing w:line="312" w:lineRule="atLeast"/>
      <w:textAlignment w:val="baseline"/>
    </w:pPr>
    <w:rPr>
      <w:kern w:val="0"/>
      <w:szCs w:val="20"/>
    </w:rPr>
  </w:style>
  <w:style w:type="paragraph" w:styleId="16">
    <w:name w:val="annotation text"/>
    <w:basedOn w:val="1"/>
    <w:link w:val="66"/>
    <w:qFormat/>
    <w:uiPriority w:val="0"/>
    <w:pPr>
      <w:jc w:val="left"/>
    </w:pPr>
  </w:style>
  <w:style w:type="paragraph" w:styleId="17">
    <w:name w:val="Body Text 3"/>
    <w:basedOn w:val="1"/>
    <w:link w:val="101"/>
    <w:qFormat/>
    <w:uiPriority w:val="0"/>
    <w:pPr>
      <w:spacing w:line="500" w:lineRule="exact"/>
    </w:pPr>
    <w:rPr>
      <w:b/>
      <w:bCs/>
      <w:sz w:val="24"/>
    </w:rPr>
  </w:style>
  <w:style w:type="paragraph" w:styleId="18">
    <w:name w:val="Body Text"/>
    <w:basedOn w:val="1"/>
    <w:link w:val="99"/>
    <w:qFormat/>
    <w:uiPriority w:val="99"/>
    <w:pPr>
      <w:spacing w:line="380" w:lineRule="exact"/>
    </w:pPr>
    <w:rPr>
      <w:sz w:val="24"/>
    </w:rPr>
  </w:style>
  <w:style w:type="paragraph" w:styleId="19">
    <w:name w:val="Body Text Indent"/>
    <w:basedOn w:val="1"/>
    <w:link w:val="79"/>
    <w:qFormat/>
    <w:uiPriority w:val="99"/>
    <w:pPr>
      <w:ind w:firstLine="830" w:firstLineChars="352"/>
    </w:pPr>
    <w:rPr>
      <w:rFonts w:ascii="仿宋_GB2312" w:eastAsia="仿宋_GB2312"/>
      <w:sz w:val="32"/>
      <w:szCs w:val="20"/>
    </w:rPr>
  </w:style>
  <w:style w:type="paragraph" w:styleId="20">
    <w:name w:val="List Number 3"/>
    <w:basedOn w:val="1"/>
    <w:qFormat/>
    <w:uiPriority w:val="0"/>
    <w:pPr>
      <w:tabs>
        <w:tab w:val="left" w:pos="1200"/>
      </w:tabs>
      <w:ind w:left="1200" w:leftChars="400" w:hanging="360" w:hangingChars="200"/>
    </w:pPr>
  </w:style>
  <w:style w:type="paragraph" w:styleId="21">
    <w:name w:val="List 2"/>
    <w:basedOn w:val="1"/>
    <w:qFormat/>
    <w:uiPriority w:val="0"/>
    <w:pPr>
      <w:ind w:left="100" w:leftChars="200" w:hanging="200" w:hangingChars="200"/>
    </w:pPr>
    <w:rPr>
      <w:sz w:val="28"/>
    </w:rPr>
  </w:style>
  <w:style w:type="paragraph" w:styleId="22">
    <w:name w:val="Block Text"/>
    <w:basedOn w:val="1"/>
    <w:qFormat/>
    <w:uiPriority w:val="0"/>
    <w:pPr>
      <w:adjustRightInd w:val="0"/>
      <w:ind w:left="420" w:right="33"/>
      <w:jc w:val="left"/>
      <w:textAlignment w:val="baseline"/>
    </w:pPr>
    <w:rPr>
      <w:kern w:val="0"/>
      <w:sz w:val="24"/>
      <w:szCs w:val="20"/>
    </w:rPr>
  </w:style>
  <w:style w:type="paragraph" w:styleId="23">
    <w:name w:val="Plain Text"/>
    <w:basedOn w:val="1"/>
    <w:link w:val="98"/>
    <w:qFormat/>
    <w:uiPriority w:val="99"/>
    <w:rPr>
      <w:rFonts w:ascii="宋体" w:hAnsi="Courier New" w:cs="Courier New"/>
      <w:szCs w:val="21"/>
    </w:rPr>
  </w:style>
  <w:style w:type="paragraph" w:styleId="24">
    <w:name w:val="Date"/>
    <w:basedOn w:val="1"/>
    <w:next w:val="1"/>
    <w:link w:val="100"/>
    <w:qFormat/>
    <w:uiPriority w:val="0"/>
    <w:pPr>
      <w:ind w:left="100" w:leftChars="2500"/>
    </w:pPr>
    <w:rPr>
      <w:rFonts w:ascii="宋体" w:hAnsi="Courier New"/>
      <w:szCs w:val="21"/>
    </w:rPr>
  </w:style>
  <w:style w:type="paragraph" w:styleId="25">
    <w:name w:val="Body Text Indent 2"/>
    <w:basedOn w:val="1"/>
    <w:link w:val="62"/>
    <w:qFormat/>
    <w:uiPriority w:val="0"/>
    <w:pPr>
      <w:ind w:firstLine="630"/>
    </w:pPr>
    <w:rPr>
      <w:sz w:val="32"/>
      <w:szCs w:val="20"/>
    </w:rPr>
  </w:style>
  <w:style w:type="paragraph" w:styleId="26">
    <w:name w:val="Balloon Text"/>
    <w:basedOn w:val="1"/>
    <w:link w:val="92"/>
    <w:qFormat/>
    <w:uiPriority w:val="0"/>
    <w:rPr>
      <w:sz w:val="18"/>
      <w:szCs w:val="18"/>
    </w:rPr>
  </w:style>
  <w:style w:type="paragraph" w:styleId="27">
    <w:name w:val="footer"/>
    <w:basedOn w:val="1"/>
    <w:link w:val="69"/>
    <w:qFormat/>
    <w:uiPriority w:val="0"/>
    <w:pPr>
      <w:tabs>
        <w:tab w:val="center" w:pos="4153"/>
        <w:tab w:val="right" w:pos="8306"/>
      </w:tabs>
      <w:snapToGrid w:val="0"/>
      <w:jc w:val="left"/>
    </w:pPr>
    <w:rPr>
      <w:sz w:val="18"/>
      <w:szCs w:val="18"/>
    </w:rPr>
  </w:style>
  <w:style w:type="paragraph" w:styleId="28">
    <w:name w:val="header"/>
    <w:basedOn w:val="1"/>
    <w:link w:val="86"/>
    <w:qFormat/>
    <w:uiPriority w:val="99"/>
    <w:pPr>
      <w:pBdr>
        <w:bottom w:val="single" w:color="auto" w:sz="6" w:space="1"/>
      </w:pBdr>
      <w:tabs>
        <w:tab w:val="center" w:pos="4153"/>
        <w:tab w:val="right" w:pos="8306"/>
      </w:tabs>
      <w:snapToGrid w:val="0"/>
      <w:jc w:val="center"/>
    </w:pPr>
    <w:rPr>
      <w:sz w:val="18"/>
      <w:szCs w:val="18"/>
    </w:rPr>
  </w:style>
  <w:style w:type="paragraph" w:styleId="29">
    <w:name w:val="List"/>
    <w:basedOn w:val="1"/>
    <w:qFormat/>
    <w:uiPriority w:val="0"/>
    <w:pPr>
      <w:ind w:left="200" w:hanging="200" w:hangingChars="200"/>
    </w:pPr>
    <w:rPr>
      <w:sz w:val="28"/>
    </w:rPr>
  </w:style>
  <w:style w:type="paragraph" w:styleId="30">
    <w:name w:val="List 5"/>
    <w:basedOn w:val="1"/>
    <w:qFormat/>
    <w:uiPriority w:val="0"/>
    <w:pPr>
      <w:ind w:left="2100" w:hanging="420"/>
    </w:pPr>
    <w:rPr>
      <w:szCs w:val="20"/>
    </w:rPr>
  </w:style>
  <w:style w:type="paragraph" w:styleId="31">
    <w:name w:val="Body Text Indent 3"/>
    <w:basedOn w:val="1"/>
    <w:link w:val="57"/>
    <w:qFormat/>
    <w:uiPriority w:val="0"/>
    <w:pPr>
      <w:spacing w:after="120"/>
      <w:ind w:left="420" w:leftChars="200"/>
    </w:pPr>
    <w:rPr>
      <w:sz w:val="16"/>
      <w:szCs w:val="16"/>
    </w:rPr>
  </w:style>
  <w:style w:type="paragraph" w:styleId="32">
    <w:name w:val="Body Text 2"/>
    <w:basedOn w:val="1"/>
    <w:link w:val="51"/>
    <w:qFormat/>
    <w:uiPriority w:val="0"/>
    <w:pPr>
      <w:spacing w:after="120" w:line="480" w:lineRule="auto"/>
    </w:pPr>
  </w:style>
  <w:style w:type="paragraph" w:styleId="33">
    <w:name w:val="List 4"/>
    <w:basedOn w:val="1"/>
    <w:qFormat/>
    <w:uiPriority w:val="0"/>
    <w:pPr>
      <w:ind w:left="100" w:leftChars="600" w:hanging="200" w:hangingChars="200"/>
    </w:pPr>
  </w:style>
  <w:style w:type="paragraph" w:styleId="34">
    <w:name w:val="List Continue 2"/>
    <w:basedOn w:val="1"/>
    <w:qFormat/>
    <w:uiPriority w:val="0"/>
    <w:pPr>
      <w:spacing w:after="120"/>
      <w:ind w:left="840" w:leftChars="400"/>
    </w:pPr>
  </w:style>
  <w:style w:type="paragraph" w:styleId="35">
    <w:name w:val="HTML Preformatted"/>
    <w:basedOn w:val="1"/>
    <w:link w:val="5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36">
    <w:name w:val="Normal (Web)"/>
    <w:basedOn w:val="1"/>
    <w:qFormat/>
    <w:uiPriority w:val="99"/>
    <w:pPr>
      <w:widowControl/>
      <w:spacing w:before="100" w:beforeAutospacing="1" w:after="100" w:afterAutospacing="1"/>
      <w:jc w:val="left"/>
    </w:pPr>
    <w:rPr>
      <w:rFonts w:ascii="宋体" w:hAnsi="宋体"/>
      <w:kern w:val="0"/>
      <w:sz w:val="24"/>
    </w:rPr>
  </w:style>
  <w:style w:type="paragraph" w:styleId="37">
    <w:name w:val="index 1"/>
    <w:basedOn w:val="1"/>
    <w:next w:val="1"/>
    <w:qFormat/>
    <w:uiPriority w:val="0"/>
    <w:pPr>
      <w:spacing w:line="400" w:lineRule="exact"/>
      <w:ind w:firstLine="420" w:firstLineChars="200"/>
    </w:pPr>
    <w:rPr>
      <w:rFonts w:ascii="宋体" w:hAnsi="Courier New"/>
      <w:b/>
      <w:szCs w:val="20"/>
    </w:rPr>
  </w:style>
  <w:style w:type="paragraph" w:styleId="38">
    <w:name w:val="Title"/>
    <w:basedOn w:val="1"/>
    <w:link w:val="97"/>
    <w:qFormat/>
    <w:uiPriority w:val="0"/>
    <w:pPr>
      <w:jc w:val="center"/>
    </w:pPr>
    <w:rPr>
      <w:sz w:val="30"/>
    </w:rPr>
  </w:style>
  <w:style w:type="paragraph" w:styleId="39">
    <w:name w:val="annotation subject"/>
    <w:basedOn w:val="16"/>
    <w:next w:val="16"/>
    <w:link w:val="81"/>
    <w:qFormat/>
    <w:uiPriority w:val="0"/>
    <w:rPr>
      <w:b/>
      <w:bCs/>
    </w:rPr>
  </w:style>
  <w:style w:type="paragraph" w:styleId="40">
    <w:name w:val="Body Text First Indent 2"/>
    <w:basedOn w:val="19"/>
    <w:link w:val="176"/>
    <w:qFormat/>
    <w:uiPriority w:val="0"/>
    <w:pPr>
      <w:spacing w:after="120"/>
      <w:ind w:left="420" w:leftChars="200" w:firstLine="420" w:firstLineChars="200"/>
    </w:pPr>
    <w:rPr>
      <w:rFonts w:ascii="Times New Roman" w:eastAsia="宋体"/>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22"/>
    <w:rPr>
      <w:b/>
      <w:bCs/>
    </w:rPr>
  </w:style>
  <w:style w:type="character" w:styleId="45">
    <w:name w:val="page number"/>
    <w:basedOn w:val="43"/>
    <w:qFormat/>
    <w:uiPriority w:val="0"/>
  </w:style>
  <w:style w:type="character" w:styleId="46">
    <w:name w:val="FollowedHyperlink"/>
    <w:qFormat/>
    <w:uiPriority w:val="99"/>
    <w:rPr>
      <w:color w:val="800080"/>
      <w:u w:val="single"/>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customStyle="1" w:styleId="49">
    <w:name w:val="white"/>
    <w:basedOn w:val="43"/>
    <w:qFormat/>
    <w:uiPriority w:val="0"/>
  </w:style>
  <w:style w:type="character" w:customStyle="1" w:styleId="50">
    <w:name w:val="style11"/>
    <w:qFormat/>
    <w:uiPriority w:val="0"/>
    <w:rPr>
      <w:rFonts w:hint="default" w:ascii="Arial" w:hAnsi="Arial" w:cs="Arial"/>
    </w:rPr>
  </w:style>
  <w:style w:type="character" w:customStyle="1" w:styleId="51">
    <w:name w:val="正文文本 2 字符"/>
    <w:link w:val="32"/>
    <w:qFormat/>
    <w:uiPriority w:val="0"/>
    <w:rPr>
      <w:kern w:val="2"/>
      <w:sz w:val="21"/>
      <w:szCs w:val="24"/>
    </w:rPr>
  </w:style>
  <w:style w:type="character" w:customStyle="1" w:styleId="52">
    <w:name w:val="HTML 预设格式 字符"/>
    <w:link w:val="35"/>
    <w:qFormat/>
    <w:uiPriority w:val="0"/>
    <w:rPr>
      <w:rFonts w:ascii="黑体" w:hAnsi="Courier New" w:eastAsia="黑体" w:cs="Courier New"/>
    </w:rPr>
  </w:style>
  <w:style w:type="character" w:customStyle="1" w:styleId="53">
    <w:name w:val="标题 2 字符"/>
    <w:link w:val="3"/>
    <w:qFormat/>
    <w:uiPriority w:val="0"/>
    <w:rPr>
      <w:rFonts w:ascii="Arial" w:hAnsi="Arial" w:eastAsia="黑体"/>
      <w:b/>
      <w:bCs/>
      <w:kern w:val="2"/>
      <w:sz w:val="32"/>
      <w:szCs w:val="32"/>
    </w:rPr>
  </w:style>
  <w:style w:type="character" w:customStyle="1" w:styleId="54">
    <w:name w:val="标题 8 字符"/>
    <w:link w:val="10"/>
    <w:qFormat/>
    <w:uiPriority w:val="0"/>
    <w:rPr>
      <w:rFonts w:ascii="Arial" w:hAnsi="Arial" w:eastAsia="黑体"/>
      <w:kern w:val="2"/>
      <w:sz w:val="24"/>
      <w:szCs w:val="24"/>
    </w:rPr>
  </w:style>
  <w:style w:type="character" w:customStyle="1" w:styleId="55">
    <w:name w:val="z-窗体顶端 字符"/>
    <w:link w:val="56"/>
    <w:qFormat/>
    <w:uiPriority w:val="0"/>
    <w:rPr>
      <w:rFonts w:ascii="Arial"/>
      <w:vanish/>
      <w:kern w:val="2"/>
      <w:sz w:val="16"/>
      <w:szCs w:val="24"/>
    </w:rPr>
  </w:style>
  <w:style w:type="paragraph" w:customStyle="1" w:styleId="56">
    <w:name w:val="z-窗体顶端1"/>
    <w:basedOn w:val="1"/>
    <w:next w:val="1"/>
    <w:link w:val="55"/>
    <w:qFormat/>
    <w:uiPriority w:val="0"/>
    <w:pPr>
      <w:pBdr>
        <w:bottom w:val="single" w:color="auto" w:sz="6" w:space="1"/>
      </w:pBdr>
      <w:jc w:val="center"/>
    </w:pPr>
    <w:rPr>
      <w:rFonts w:ascii="Arial"/>
      <w:vanish/>
      <w:sz w:val="16"/>
    </w:rPr>
  </w:style>
  <w:style w:type="character" w:customStyle="1" w:styleId="57">
    <w:name w:val="正文文本缩进 3 字符"/>
    <w:link w:val="31"/>
    <w:qFormat/>
    <w:uiPriority w:val="0"/>
    <w:rPr>
      <w:kern w:val="2"/>
      <w:sz w:val="16"/>
      <w:szCs w:val="16"/>
    </w:rPr>
  </w:style>
  <w:style w:type="character" w:customStyle="1" w:styleId="58">
    <w:name w:val="正文首行缩进 Char"/>
    <w:link w:val="59"/>
    <w:qFormat/>
    <w:uiPriority w:val="0"/>
    <w:rPr>
      <w:kern w:val="2"/>
      <w:sz w:val="21"/>
      <w:szCs w:val="24"/>
    </w:rPr>
  </w:style>
  <w:style w:type="paragraph" w:customStyle="1" w:styleId="59">
    <w:name w:val="正文首行缩进1"/>
    <w:basedOn w:val="18"/>
    <w:link w:val="58"/>
    <w:qFormat/>
    <w:uiPriority w:val="0"/>
    <w:pPr>
      <w:spacing w:after="120" w:line="240" w:lineRule="auto"/>
      <w:ind w:firstLine="420" w:firstLineChars="100"/>
    </w:pPr>
    <w:rPr>
      <w:sz w:val="21"/>
    </w:rPr>
  </w:style>
  <w:style w:type="character" w:customStyle="1" w:styleId="60">
    <w:name w:val="标题 5 字符"/>
    <w:link w:val="6"/>
    <w:qFormat/>
    <w:uiPriority w:val="0"/>
    <w:rPr>
      <w:b/>
      <w:kern w:val="2"/>
      <w:sz w:val="28"/>
      <w:szCs w:val="24"/>
    </w:rPr>
  </w:style>
  <w:style w:type="character" w:customStyle="1" w:styleId="61">
    <w:name w:val="f151"/>
    <w:qFormat/>
    <w:uiPriority w:val="0"/>
    <w:rPr>
      <w:sz w:val="23"/>
      <w:szCs w:val="23"/>
    </w:rPr>
  </w:style>
  <w:style w:type="character" w:customStyle="1" w:styleId="62">
    <w:name w:val="正文文本缩进 2 字符"/>
    <w:link w:val="25"/>
    <w:qFormat/>
    <w:uiPriority w:val="0"/>
    <w:rPr>
      <w:kern w:val="2"/>
      <w:sz w:val="32"/>
    </w:rPr>
  </w:style>
  <w:style w:type="character" w:customStyle="1" w:styleId="63">
    <w:name w:val="1ji Char"/>
    <w:link w:val="64"/>
    <w:qFormat/>
    <w:uiPriority w:val="0"/>
    <w:rPr>
      <w:rFonts w:ascii="宋体" w:hAnsi="宋体" w:eastAsia="宋体"/>
      <w:b/>
      <w:bCs/>
      <w:kern w:val="44"/>
      <w:sz w:val="36"/>
      <w:szCs w:val="44"/>
      <w:lang w:val="en-US" w:eastAsia="zh-CN" w:bidi="ar-SA"/>
    </w:rPr>
  </w:style>
  <w:style w:type="paragraph" w:customStyle="1" w:styleId="64">
    <w:name w:val="1ji"/>
    <w:basedOn w:val="2"/>
    <w:link w:val="63"/>
    <w:qFormat/>
    <w:uiPriority w:val="0"/>
    <w:pPr>
      <w:keepLines w:val="0"/>
      <w:widowControl/>
      <w:spacing w:before="0" w:after="0" w:line="240" w:lineRule="auto"/>
      <w:jc w:val="center"/>
    </w:pPr>
    <w:rPr>
      <w:rFonts w:ascii="宋体" w:hAnsi="宋体"/>
      <w:sz w:val="36"/>
    </w:rPr>
  </w:style>
  <w:style w:type="character" w:customStyle="1" w:styleId="65">
    <w:name w:val="标题 9 字符"/>
    <w:link w:val="11"/>
    <w:qFormat/>
    <w:uiPriority w:val="0"/>
    <w:rPr>
      <w:rFonts w:ascii="Arial" w:hAnsi="Arial" w:eastAsia="黑体"/>
      <w:kern w:val="2"/>
      <w:sz w:val="21"/>
      <w:szCs w:val="24"/>
    </w:rPr>
  </w:style>
  <w:style w:type="character" w:customStyle="1" w:styleId="66">
    <w:name w:val="批注文字 字符2"/>
    <w:link w:val="16"/>
    <w:qFormat/>
    <w:uiPriority w:val="0"/>
    <w:rPr>
      <w:kern w:val="2"/>
      <w:sz w:val="21"/>
      <w:szCs w:val="24"/>
    </w:rPr>
  </w:style>
  <w:style w:type="character" w:customStyle="1" w:styleId="67">
    <w:name w:val="标题 6 字符"/>
    <w:link w:val="8"/>
    <w:qFormat/>
    <w:uiPriority w:val="0"/>
    <w:rPr>
      <w:rFonts w:ascii="Arial" w:hAnsi="Arial" w:eastAsia="黑体"/>
      <w:b/>
      <w:kern w:val="2"/>
      <w:sz w:val="24"/>
      <w:szCs w:val="24"/>
    </w:rPr>
  </w:style>
  <w:style w:type="character" w:customStyle="1" w:styleId="68">
    <w:name w:val="apple-converted-space"/>
    <w:qFormat/>
    <w:uiPriority w:val="0"/>
  </w:style>
  <w:style w:type="character" w:customStyle="1" w:styleId="69">
    <w:name w:val="页脚 字符"/>
    <w:link w:val="27"/>
    <w:qFormat/>
    <w:uiPriority w:val="0"/>
    <w:rPr>
      <w:kern w:val="2"/>
      <w:sz w:val="18"/>
      <w:szCs w:val="18"/>
    </w:rPr>
  </w:style>
  <w:style w:type="character" w:customStyle="1" w:styleId="70">
    <w:name w:val="正文首行缩进 2 Char"/>
    <w:link w:val="71"/>
    <w:qFormat/>
    <w:uiPriority w:val="0"/>
    <w:rPr>
      <w:kern w:val="2"/>
      <w:sz w:val="21"/>
      <w:szCs w:val="24"/>
    </w:rPr>
  </w:style>
  <w:style w:type="paragraph" w:customStyle="1" w:styleId="71">
    <w:name w:val="正文首行缩进 21"/>
    <w:basedOn w:val="19"/>
    <w:link w:val="70"/>
    <w:qFormat/>
    <w:uiPriority w:val="0"/>
    <w:pPr>
      <w:spacing w:after="120"/>
      <w:ind w:left="420" w:leftChars="200" w:firstLine="420" w:firstLineChars="200"/>
    </w:pPr>
    <w:rPr>
      <w:rFonts w:ascii="Times New Roman" w:eastAsia="宋体"/>
      <w:sz w:val="21"/>
      <w:szCs w:val="24"/>
    </w:rPr>
  </w:style>
  <w:style w:type="character" w:customStyle="1" w:styleId="72">
    <w:name w:val="unnamed3"/>
    <w:basedOn w:val="43"/>
    <w:qFormat/>
    <w:uiPriority w:val="0"/>
  </w:style>
  <w:style w:type="character" w:customStyle="1" w:styleId="73">
    <w:name w:val="case31"/>
    <w:qFormat/>
    <w:uiPriority w:val="0"/>
    <w:rPr>
      <w:rFonts w:hint="default"/>
      <w:sz w:val="21"/>
      <w:szCs w:val="21"/>
    </w:rPr>
  </w:style>
  <w:style w:type="character" w:customStyle="1" w:styleId="74">
    <w:name w:val="gray12"/>
    <w:basedOn w:val="43"/>
    <w:qFormat/>
    <w:uiPriority w:val="0"/>
  </w:style>
  <w:style w:type="character" w:customStyle="1" w:styleId="75">
    <w:name w:val="text11"/>
    <w:qFormat/>
    <w:uiPriority w:val="0"/>
    <w:rPr>
      <w:rFonts w:hint="default" w:ascii="Verdana" w:hAnsi="Verdana"/>
      <w:color w:val="4E4E4E"/>
      <w:sz w:val="18"/>
      <w:szCs w:val="18"/>
    </w:rPr>
  </w:style>
  <w:style w:type="character" w:customStyle="1" w:styleId="76">
    <w:name w:val="style21"/>
    <w:qFormat/>
    <w:uiPriority w:val="0"/>
    <w:rPr>
      <w:sz w:val="17"/>
      <w:szCs w:val="17"/>
    </w:rPr>
  </w:style>
  <w:style w:type="character" w:customStyle="1" w:styleId="77">
    <w:name w:val="标题 4 字符"/>
    <w:link w:val="5"/>
    <w:qFormat/>
    <w:uiPriority w:val="0"/>
    <w:rPr>
      <w:rFonts w:ascii="Arial" w:hAnsi="Arial" w:eastAsia="黑体"/>
      <w:sz w:val="28"/>
    </w:rPr>
  </w:style>
  <w:style w:type="character" w:customStyle="1" w:styleId="78">
    <w:name w:val="文档结构图 字符"/>
    <w:link w:val="15"/>
    <w:qFormat/>
    <w:uiPriority w:val="0"/>
    <w:rPr>
      <w:sz w:val="21"/>
      <w:shd w:val="clear" w:color="auto" w:fill="000080"/>
    </w:rPr>
  </w:style>
  <w:style w:type="character" w:customStyle="1" w:styleId="79">
    <w:name w:val="正文文本缩进 字符"/>
    <w:link w:val="19"/>
    <w:qFormat/>
    <w:uiPriority w:val="99"/>
    <w:rPr>
      <w:rFonts w:ascii="仿宋_GB2312" w:eastAsia="仿宋_GB2312"/>
      <w:kern w:val="2"/>
      <w:sz w:val="32"/>
    </w:rPr>
  </w:style>
  <w:style w:type="character" w:customStyle="1" w:styleId="80">
    <w:name w:val="mark8"/>
    <w:qFormat/>
    <w:uiPriority w:val="0"/>
    <w:rPr>
      <w:b/>
      <w:bCs/>
      <w:sz w:val="21"/>
      <w:szCs w:val="21"/>
    </w:rPr>
  </w:style>
  <w:style w:type="character" w:customStyle="1" w:styleId="81">
    <w:name w:val="批注主题 字符"/>
    <w:link w:val="39"/>
    <w:qFormat/>
    <w:uiPriority w:val="0"/>
    <w:rPr>
      <w:b/>
      <w:bCs/>
      <w:kern w:val="2"/>
      <w:sz w:val="21"/>
      <w:szCs w:val="24"/>
    </w:rPr>
  </w:style>
  <w:style w:type="character" w:customStyle="1" w:styleId="82">
    <w:name w:val="font01"/>
    <w:qFormat/>
    <w:uiPriority w:val="0"/>
    <w:rPr>
      <w:rFonts w:hint="eastAsia" w:ascii="宋体" w:hAnsi="宋体" w:eastAsia="宋体"/>
      <w:color w:val="000000"/>
      <w:sz w:val="22"/>
      <w:szCs w:val="22"/>
      <w:u w:val="none"/>
    </w:rPr>
  </w:style>
  <w:style w:type="character" w:customStyle="1" w:styleId="83">
    <w:name w:val="content2"/>
    <w:basedOn w:val="43"/>
    <w:qFormat/>
    <w:uiPriority w:val="0"/>
  </w:style>
  <w:style w:type="character" w:customStyle="1" w:styleId="84">
    <w:name w:val="1051"/>
    <w:qFormat/>
    <w:uiPriority w:val="0"/>
    <w:rPr>
      <w:sz w:val="21"/>
      <w:szCs w:val="21"/>
    </w:rPr>
  </w:style>
  <w:style w:type="character" w:customStyle="1" w:styleId="85">
    <w:name w:val="标题 1 字符"/>
    <w:link w:val="2"/>
    <w:qFormat/>
    <w:uiPriority w:val="9"/>
    <w:rPr>
      <w:rFonts w:eastAsia="宋体"/>
      <w:b/>
      <w:bCs/>
      <w:kern w:val="44"/>
      <w:sz w:val="44"/>
      <w:szCs w:val="44"/>
      <w:lang w:val="en-US" w:eastAsia="zh-CN" w:bidi="ar-SA"/>
    </w:rPr>
  </w:style>
  <w:style w:type="character" w:customStyle="1" w:styleId="86">
    <w:name w:val="页眉 字符"/>
    <w:link w:val="28"/>
    <w:qFormat/>
    <w:uiPriority w:val="99"/>
    <w:rPr>
      <w:kern w:val="2"/>
      <w:sz w:val="18"/>
      <w:szCs w:val="18"/>
    </w:rPr>
  </w:style>
  <w:style w:type="character" w:customStyle="1" w:styleId="87">
    <w:name w:val="062"/>
    <w:qFormat/>
    <w:uiPriority w:val="0"/>
    <w:rPr>
      <w:rFonts w:ascii="宋体" w:hAnsi="宋体"/>
      <w:b/>
      <w:bCs/>
      <w:sz w:val="32"/>
    </w:rPr>
  </w:style>
  <w:style w:type="character" w:customStyle="1" w:styleId="88">
    <w:name w:val="标题 3 字符"/>
    <w:link w:val="4"/>
    <w:qFormat/>
    <w:uiPriority w:val="0"/>
    <w:rPr>
      <w:b/>
      <w:bCs/>
      <w:kern w:val="2"/>
      <w:sz w:val="32"/>
      <w:szCs w:val="32"/>
    </w:rPr>
  </w:style>
  <w:style w:type="character" w:customStyle="1" w:styleId="89">
    <w:name w:val="标题3 Char"/>
    <w:link w:val="90"/>
    <w:qFormat/>
    <w:uiPriority w:val="0"/>
    <w:rPr>
      <w:rFonts w:ascii="宋体" w:hAnsi="宋体"/>
      <w:b/>
      <w:bCs/>
      <w:kern w:val="44"/>
      <w:sz w:val="24"/>
      <w:szCs w:val="24"/>
    </w:rPr>
  </w:style>
  <w:style w:type="paragraph" w:customStyle="1" w:styleId="90">
    <w:name w:val="标题3"/>
    <w:basedOn w:val="2"/>
    <w:link w:val="89"/>
    <w:qFormat/>
    <w:uiPriority w:val="0"/>
    <w:pPr>
      <w:spacing w:before="0" w:beforeLines="50" w:after="0" w:afterLines="50" w:line="400" w:lineRule="exact"/>
    </w:pPr>
    <w:rPr>
      <w:rFonts w:ascii="宋体" w:hAnsi="宋体"/>
      <w:sz w:val="24"/>
      <w:szCs w:val="24"/>
    </w:rPr>
  </w:style>
  <w:style w:type="character" w:customStyle="1" w:styleId="91">
    <w:name w:val="small"/>
    <w:basedOn w:val="43"/>
    <w:qFormat/>
    <w:uiPriority w:val="0"/>
  </w:style>
  <w:style w:type="character" w:customStyle="1" w:styleId="92">
    <w:name w:val="批注框文本 字符"/>
    <w:link w:val="26"/>
    <w:qFormat/>
    <w:uiPriority w:val="0"/>
    <w:rPr>
      <w:kern w:val="2"/>
      <w:sz w:val="18"/>
      <w:szCs w:val="18"/>
    </w:rPr>
  </w:style>
  <w:style w:type="character" w:customStyle="1" w:styleId="93">
    <w:name w:val="纯文本 Char1"/>
    <w:qFormat/>
    <w:uiPriority w:val="0"/>
    <w:rPr>
      <w:rFonts w:ascii="宋体" w:hAnsi="Courier New" w:eastAsia="宋体" w:cs="Courier New"/>
      <w:kern w:val="2"/>
      <w:sz w:val="21"/>
      <w:szCs w:val="21"/>
      <w:lang w:val="en-US" w:eastAsia="zh-CN" w:bidi="ar-SA"/>
    </w:rPr>
  </w:style>
  <w:style w:type="character" w:customStyle="1" w:styleId="94">
    <w:name w:val="标题 7 字符"/>
    <w:link w:val="9"/>
    <w:qFormat/>
    <w:uiPriority w:val="0"/>
    <w:rPr>
      <w:b/>
      <w:kern w:val="2"/>
      <w:sz w:val="24"/>
      <w:szCs w:val="24"/>
    </w:rPr>
  </w:style>
  <w:style w:type="character" w:customStyle="1" w:styleId="95">
    <w:name w:val="short_text1"/>
    <w:qFormat/>
    <w:uiPriority w:val="0"/>
    <w:rPr>
      <w:sz w:val="26"/>
    </w:rPr>
  </w:style>
  <w:style w:type="character" w:customStyle="1" w:styleId="96">
    <w:name w:val="graytext1"/>
    <w:qFormat/>
    <w:uiPriority w:val="0"/>
    <w:rPr>
      <w:color w:val="666666"/>
    </w:rPr>
  </w:style>
  <w:style w:type="character" w:customStyle="1" w:styleId="97">
    <w:name w:val="标题 字符"/>
    <w:link w:val="38"/>
    <w:qFormat/>
    <w:uiPriority w:val="0"/>
    <w:rPr>
      <w:kern w:val="2"/>
      <w:sz w:val="30"/>
      <w:szCs w:val="24"/>
    </w:rPr>
  </w:style>
  <w:style w:type="character" w:customStyle="1" w:styleId="98">
    <w:name w:val="纯文本 字符2"/>
    <w:link w:val="23"/>
    <w:qFormat/>
    <w:uiPriority w:val="99"/>
    <w:rPr>
      <w:rFonts w:ascii="宋体" w:hAnsi="Courier New" w:eastAsia="宋体" w:cs="Courier New"/>
      <w:kern w:val="2"/>
      <w:sz w:val="21"/>
      <w:szCs w:val="21"/>
      <w:lang w:val="en-US" w:eastAsia="zh-CN" w:bidi="ar-SA"/>
    </w:rPr>
  </w:style>
  <w:style w:type="character" w:customStyle="1" w:styleId="99">
    <w:name w:val="正文文本 字符2"/>
    <w:link w:val="18"/>
    <w:qFormat/>
    <w:uiPriority w:val="99"/>
    <w:rPr>
      <w:kern w:val="2"/>
      <w:sz w:val="24"/>
      <w:szCs w:val="24"/>
    </w:rPr>
  </w:style>
  <w:style w:type="character" w:customStyle="1" w:styleId="100">
    <w:name w:val="日期 字符"/>
    <w:link w:val="24"/>
    <w:qFormat/>
    <w:uiPriority w:val="0"/>
    <w:rPr>
      <w:rFonts w:ascii="宋体" w:hAnsi="Courier New" w:cs="Courier New"/>
      <w:kern w:val="2"/>
      <w:sz w:val="21"/>
      <w:szCs w:val="21"/>
    </w:rPr>
  </w:style>
  <w:style w:type="character" w:customStyle="1" w:styleId="101">
    <w:name w:val="正文文本 3 字符"/>
    <w:link w:val="17"/>
    <w:qFormat/>
    <w:uiPriority w:val="0"/>
    <w:rPr>
      <w:b/>
      <w:bCs/>
      <w:kern w:val="2"/>
      <w:sz w:val="24"/>
      <w:szCs w:val="24"/>
    </w:rPr>
  </w:style>
  <w:style w:type="paragraph" w:customStyle="1" w:styleId="102">
    <w:name w:val="目录 711"/>
    <w:basedOn w:val="1"/>
    <w:next w:val="1"/>
    <w:qFormat/>
    <w:uiPriority w:val="0"/>
    <w:pPr>
      <w:tabs>
        <w:tab w:val="right" w:leader="dot" w:pos="9185"/>
      </w:tabs>
      <w:adjustRightInd w:val="0"/>
      <w:spacing w:line="312" w:lineRule="atLeast"/>
      <w:ind w:left="2520"/>
      <w:textAlignment w:val="baseline"/>
    </w:pPr>
    <w:rPr>
      <w:kern w:val="0"/>
      <w:szCs w:val="20"/>
    </w:rPr>
  </w:style>
  <w:style w:type="paragraph" w:customStyle="1" w:styleId="103">
    <w:name w:val="目录 81"/>
    <w:basedOn w:val="1"/>
    <w:next w:val="1"/>
    <w:qFormat/>
    <w:uiPriority w:val="0"/>
    <w:pPr>
      <w:tabs>
        <w:tab w:val="right" w:leader="dot" w:pos="9185"/>
      </w:tabs>
      <w:adjustRightInd w:val="0"/>
      <w:spacing w:line="312" w:lineRule="atLeast"/>
      <w:ind w:left="2940"/>
      <w:textAlignment w:val="baseline"/>
    </w:pPr>
    <w:rPr>
      <w:kern w:val="0"/>
      <w:szCs w:val="20"/>
    </w:rPr>
  </w:style>
  <w:style w:type="paragraph" w:customStyle="1" w:styleId="104">
    <w:name w:val="目录 31"/>
    <w:basedOn w:val="1"/>
    <w:next w:val="1"/>
    <w:qFormat/>
    <w:uiPriority w:val="39"/>
    <w:pPr>
      <w:ind w:left="840" w:leftChars="400"/>
    </w:pPr>
  </w:style>
  <w:style w:type="paragraph" w:customStyle="1" w:styleId="105">
    <w:name w:val="目录 61"/>
    <w:basedOn w:val="1"/>
    <w:next w:val="1"/>
    <w:qFormat/>
    <w:uiPriority w:val="0"/>
    <w:pPr>
      <w:tabs>
        <w:tab w:val="right" w:leader="dot" w:pos="9185"/>
      </w:tabs>
      <w:adjustRightInd w:val="0"/>
      <w:spacing w:line="312" w:lineRule="atLeast"/>
      <w:ind w:left="2100"/>
      <w:textAlignment w:val="baseline"/>
    </w:pPr>
    <w:rPr>
      <w:kern w:val="0"/>
      <w:szCs w:val="20"/>
    </w:rPr>
  </w:style>
  <w:style w:type="paragraph" w:customStyle="1" w:styleId="106">
    <w:name w:val="目录 1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customStyle="1" w:styleId="107">
    <w:name w:val="目录 21"/>
    <w:basedOn w:val="1"/>
    <w:next w:val="1"/>
    <w:qFormat/>
    <w:uiPriority w:val="39"/>
    <w:pPr>
      <w:ind w:left="420" w:leftChars="200"/>
    </w:pPr>
  </w:style>
  <w:style w:type="paragraph" w:customStyle="1" w:styleId="108">
    <w:name w:val="目录 41"/>
    <w:basedOn w:val="1"/>
    <w:next w:val="1"/>
    <w:qFormat/>
    <w:uiPriority w:val="0"/>
    <w:pPr>
      <w:tabs>
        <w:tab w:val="right" w:leader="dot" w:pos="9185"/>
      </w:tabs>
      <w:adjustRightInd w:val="0"/>
      <w:spacing w:line="312" w:lineRule="atLeast"/>
      <w:ind w:left="1260"/>
      <w:textAlignment w:val="baseline"/>
    </w:pPr>
    <w:rPr>
      <w:kern w:val="0"/>
      <w:szCs w:val="20"/>
    </w:rPr>
  </w:style>
  <w:style w:type="paragraph" w:customStyle="1" w:styleId="109">
    <w:name w:val="目录 51"/>
    <w:basedOn w:val="1"/>
    <w:next w:val="1"/>
    <w:qFormat/>
    <w:uiPriority w:val="0"/>
    <w:pPr>
      <w:tabs>
        <w:tab w:val="right" w:leader="dot" w:pos="9185"/>
      </w:tabs>
      <w:adjustRightInd w:val="0"/>
      <w:spacing w:line="312" w:lineRule="atLeast"/>
      <w:ind w:left="1680"/>
      <w:textAlignment w:val="baseline"/>
    </w:pPr>
    <w:rPr>
      <w:kern w:val="0"/>
      <w:szCs w:val="20"/>
    </w:rPr>
  </w:style>
  <w:style w:type="paragraph" w:customStyle="1" w:styleId="110">
    <w:name w:val="目录 91"/>
    <w:basedOn w:val="1"/>
    <w:next w:val="1"/>
    <w:qFormat/>
    <w:uiPriority w:val="0"/>
    <w:pPr>
      <w:tabs>
        <w:tab w:val="right" w:leader="dot" w:pos="9185"/>
      </w:tabs>
      <w:adjustRightInd w:val="0"/>
      <w:spacing w:line="312" w:lineRule="atLeast"/>
      <w:ind w:left="3360"/>
      <w:textAlignment w:val="baseline"/>
    </w:pPr>
    <w:rPr>
      <w:kern w:val="0"/>
      <w:szCs w:val="20"/>
    </w:rPr>
  </w:style>
  <w:style w:type="paragraph" w:customStyle="1" w:styleId="111">
    <w:name w:val="a9"/>
    <w:basedOn w:val="1"/>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13">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15">
    <w:name w:val="样式 首行缩进:  2 字符"/>
    <w:basedOn w:val="1"/>
    <w:qFormat/>
    <w:uiPriority w:val="0"/>
    <w:pPr>
      <w:spacing w:line="400" w:lineRule="exact"/>
      <w:ind w:firstLine="200" w:firstLineChars="200"/>
    </w:pPr>
    <w:rPr>
      <w:rFonts w:cs="宋体"/>
      <w:sz w:val="24"/>
    </w:rPr>
  </w:style>
  <w:style w:type="paragraph" w:customStyle="1" w:styleId="11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8">
    <w:name w:val="列出段落"/>
    <w:basedOn w:val="1"/>
    <w:qFormat/>
    <w:uiPriority w:val="34"/>
    <w:pPr>
      <w:ind w:firstLine="420" w:firstLineChars="200"/>
    </w:pPr>
    <w:rPr>
      <w:rFonts w:ascii="Calibri" w:hAnsi="Calibri"/>
      <w:szCs w:val="22"/>
    </w:rPr>
  </w:style>
  <w:style w:type="paragraph" w:customStyle="1" w:styleId="119">
    <w:name w:val="缺省文本"/>
    <w:basedOn w:val="1"/>
    <w:qFormat/>
    <w:uiPriority w:val="0"/>
    <w:pPr>
      <w:autoSpaceDE w:val="0"/>
      <w:autoSpaceDN w:val="0"/>
      <w:adjustRightInd w:val="0"/>
      <w:spacing w:line="360" w:lineRule="auto"/>
      <w:jc w:val="left"/>
    </w:pPr>
    <w:rPr>
      <w:kern w:val="0"/>
      <w:sz w:val="24"/>
      <w:szCs w:val="20"/>
    </w:rPr>
  </w:style>
  <w:style w:type="paragraph" w:customStyle="1" w:styleId="12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21">
    <w:name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23">
    <w:name w:val="Char Char Char Char Char Char Char Char Char Char Char Char Char"/>
    <w:basedOn w:val="15"/>
    <w:qFormat/>
    <w:uiPriority w:val="0"/>
    <w:pPr>
      <w:adjustRightInd/>
      <w:spacing w:line="240" w:lineRule="auto"/>
      <w:textAlignment w:val="auto"/>
    </w:pPr>
    <w:rPr>
      <w:rFonts w:ascii="Tahoma" w:hAnsi="Tahoma"/>
      <w:kern w:val="2"/>
      <w:sz w:val="24"/>
      <w:szCs w:val="24"/>
    </w:rPr>
  </w:style>
  <w:style w:type="paragraph" w:customStyle="1" w:styleId="124">
    <w:name w:val="Char1"/>
    <w:basedOn w:val="1"/>
    <w:qFormat/>
    <w:uiPriority w:val="0"/>
    <w:rPr>
      <w:szCs w:val="21"/>
    </w:rPr>
  </w:style>
  <w:style w:type="paragraph" w:customStyle="1" w:styleId="125">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26">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27">
    <w:name w:val="正文首行缩进两字符"/>
    <w:basedOn w:val="1"/>
    <w:qFormat/>
    <w:uiPriority w:val="0"/>
    <w:pPr>
      <w:spacing w:line="360" w:lineRule="auto"/>
      <w:ind w:firstLine="200" w:firstLineChars="200"/>
    </w:pPr>
  </w:style>
  <w:style w:type="paragraph" w:customStyle="1" w:styleId="12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2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3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1">
    <w:name w:val="Char3"/>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132">
    <w:name w:val="Char Char Char"/>
    <w:basedOn w:val="1"/>
    <w:qFormat/>
    <w:uiPriority w:val="0"/>
    <w:rPr>
      <w:rFonts w:ascii="Tahoma" w:hAnsi="Tahoma"/>
      <w:sz w:val="24"/>
      <w:szCs w:val="20"/>
    </w:rPr>
  </w:style>
  <w:style w:type="paragraph" w:customStyle="1" w:styleId="133">
    <w:name w:val="表格"/>
    <w:basedOn w:val="1"/>
    <w:qFormat/>
    <w:uiPriority w:val="0"/>
    <w:pPr>
      <w:spacing w:line="400" w:lineRule="exact"/>
    </w:pPr>
    <w:rPr>
      <w:sz w:val="24"/>
    </w:rPr>
  </w:style>
  <w:style w:type="paragraph" w:customStyle="1" w:styleId="1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5">
    <w:name w:val="Char Char Char Char Char Char Char"/>
    <w:basedOn w:val="1"/>
    <w:qFormat/>
    <w:uiPriority w:val="0"/>
  </w:style>
  <w:style w:type="paragraph" w:customStyle="1" w:styleId="136">
    <w:name w:val="Char4"/>
    <w:basedOn w:val="1"/>
    <w:qFormat/>
    <w:uiPriority w:val="0"/>
    <w:pPr>
      <w:tabs>
        <w:tab w:val="left" w:pos="360"/>
      </w:tabs>
      <w:ind w:left="252" w:hanging="252" w:hangingChars="140"/>
    </w:pPr>
    <w:rPr>
      <w:rFonts w:ascii="宋体"/>
      <w:sz w:val="18"/>
      <w:szCs w:val="18"/>
    </w:rPr>
  </w:style>
  <w:style w:type="paragraph" w:customStyle="1" w:styleId="137">
    <w:name w:val="Char Char Char2"/>
    <w:basedOn w:val="15"/>
    <w:qFormat/>
    <w:uiPriority w:val="0"/>
    <w:pPr>
      <w:adjustRightInd/>
      <w:spacing w:line="240" w:lineRule="auto"/>
      <w:textAlignment w:val="auto"/>
    </w:pPr>
    <w:rPr>
      <w:rFonts w:ascii="Tahoma" w:hAnsi="Tahoma"/>
      <w:kern w:val="2"/>
      <w:sz w:val="24"/>
      <w:szCs w:val="24"/>
    </w:rPr>
  </w:style>
  <w:style w:type="paragraph" w:customStyle="1" w:styleId="138">
    <w:name w:val="样式1"/>
    <w:basedOn w:val="1"/>
    <w:qFormat/>
    <w:uiPriority w:val="0"/>
    <w:pPr>
      <w:spacing w:before="120" w:after="120" w:line="300" w:lineRule="auto"/>
    </w:pPr>
    <w:rPr>
      <w:rFonts w:ascii="宋体" w:hAnsi="宋体"/>
      <w:b/>
      <w:sz w:val="24"/>
      <w:szCs w:val="20"/>
    </w:rPr>
  </w:style>
  <w:style w:type="paragraph" w:customStyle="1" w:styleId="13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Cs w:val="21"/>
    </w:rPr>
  </w:style>
  <w:style w:type="paragraph" w:customStyle="1" w:styleId="140">
    <w:name w:val="Char Char Char Char Char Char Char1"/>
    <w:basedOn w:val="1"/>
    <w:qFormat/>
    <w:uiPriority w:val="0"/>
  </w:style>
  <w:style w:type="paragraph" w:customStyle="1" w:styleId="141">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42">
    <w:name w:val="次小点说明 Char"/>
    <w:basedOn w:val="7"/>
    <w:qFormat/>
    <w:uiPriority w:val="0"/>
    <w:pPr>
      <w:ind w:firstLine="0"/>
    </w:pPr>
    <w:rPr>
      <w:sz w:val="24"/>
      <w:szCs w:val="24"/>
    </w:rPr>
  </w:style>
  <w:style w:type="paragraph" w:customStyle="1" w:styleId="143">
    <w:name w:val="五号正文（标准）"/>
    <w:basedOn w:val="1"/>
    <w:qFormat/>
    <w:uiPriority w:val="0"/>
    <w:pPr>
      <w:spacing w:line="360" w:lineRule="auto"/>
      <w:ind w:right="55" w:firstLine="560" w:firstLineChars="200"/>
    </w:pPr>
    <w:rPr>
      <w:rFonts w:eastAsia="仿宋_GB2312"/>
      <w:sz w:val="28"/>
      <w:szCs w:val="20"/>
    </w:rPr>
  </w:style>
  <w:style w:type="paragraph" w:customStyle="1" w:styleId="14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5">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146">
    <w:name w:val="默认段落字体 Para Char Char Char Char Char Char Char Char Char1 Char Char Char Char"/>
    <w:basedOn w:val="1"/>
    <w:qFormat/>
    <w:uiPriority w:val="0"/>
    <w:rPr>
      <w:rFonts w:ascii="Tahoma" w:hAnsi="Tahoma"/>
      <w:sz w:val="24"/>
      <w:szCs w:val="20"/>
    </w:rPr>
  </w:style>
  <w:style w:type="paragraph" w:customStyle="1" w:styleId="147">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9">
    <w:name w:val="Char Char Char Char Char Char Char Char Char Char Char Char Char1"/>
    <w:basedOn w:val="15"/>
    <w:qFormat/>
    <w:uiPriority w:val="0"/>
    <w:pPr>
      <w:adjustRightInd/>
      <w:spacing w:line="240" w:lineRule="auto"/>
      <w:textAlignment w:val="auto"/>
    </w:pPr>
    <w:rPr>
      <w:rFonts w:ascii="Tahoma" w:hAnsi="Tahoma"/>
      <w:kern w:val="2"/>
      <w:sz w:val="24"/>
      <w:szCs w:val="24"/>
    </w:rPr>
  </w:style>
  <w:style w:type="paragraph" w:customStyle="1" w:styleId="15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51">
    <w:name w:val="Char Char Char Char Char Char1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52">
    <w:name w:val="Char Char Char1"/>
    <w:basedOn w:val="15"/>
    <w:qFormat/>
    <w:uiPriority w:val="0"/>
    <w:pPr>
      <w:adjustRightInd/>
      <w:spacing w:line="240" w:lineRule="auto"/>
      <w:textAlignment w:val="auto"/>
    </w:pPr>
    <w:rPr>
      <w:rFonts w:ascii="Tahoma" w:hAnsi="Tahoma"/>
      <w:kern w:val="2"/>
      <w:sz w:val="24"/>
      <w:szCs w:val="24"/>
    </w:rPr>
  </w:style>
  <w:style w:type="paragraph" w:customStyle="1" w:styleId="153">
    <w:name w:val="F2"/>
    <w:basedOn w:val="1"/>
    <w:qFormat/>
    <w:uiPriority w:val="0"/>
    <w:pPr>
      <w:autoSpaceDE w:val="0"/>
      <w:autoSpaceDN w:val="0"/>
      <w:adjustRightInd w:val="0"/>
      <w:ind w:firstLine="601"/>
      <w:textAlignment w:val="baseline"/>
    </w:pPr>
    <w:rPr>
      <w:kern w:val="0"/>
      <w:sz w:val="24"/>
      <w:szCs w:val="20"/>
    </w:rPr>
  </w:style>
  <w:style w:type="paragraph" w:customStyle="1" w:styleId="154">
    <w:name w:val="xl2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55">
    <w:name w:val="List Paragraph1"/>
    <w:basedOn w:val="1"/>
    <w:qFormat/>
    <w:uiPriority w:val="0"/>
    <w:pPr>
      <w:ind w:firstLine="420" w:firstLineChars="200"/>
    </w:pPr>
    <w:rPr>
      <w:rFonts w:ascii="Calibri" w:hAnsi="Calibri"/>
      <w:szCs w:val="22"/>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57">
    <w:name w:val="默认段落字体 Para Char"/>
    <w:basedOn w:val="1"/>
    <w:qFormat/>
    <w:uiPriority w:val="0"/>
    <w:pPr>
      <w:adjustRightInd w:val="0"/>
      <w:spacing w:line="360" w:lineRule="auto"/>
    </w:pPr>
    <w:rPr>
      <w:kern w:val="0"/>
      <w:sz w:val="24"/>
      <w:szCs w:val="20"/>
    </w:rPr>
  </w:style>
  <w:style w:type="paragraph" w:customStyle="1" w:styleId="15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5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0">
    <w:name w:val="tgt1"/>
    <w:basedOn w:val="1"/>
    <w:qFormat/>
    <w:uiPriority w:val="0"/>
    <w:pPr>
      <w:widowControl/>
      <w:spacing w:after="150"/>
      <w:jc w:val="left"/>
    </w:pPr>
    <w:rPr>
      <w:rFonts w:ascii="宋体" w:hAnsi="宋体" w:cs="宋体"/>
      <w:kern w:val="0"/>
      <w:sz w:val="24"/>
    </w:rPr>
  </w:style>
  <w:style w:type="paragraph" w:customStyle="1" w:styleId="161">
    <w:name w:val="正文段"/>
    <w:basedOn w:val="1"/>
    <w:qFormat/>
    <w:uiPriority w:val="0"/>
    <w:pPr>
      <w:widowControl/>
      <w:snapToGrid w:val="0"/>
      <w:spacing w:after="156" w:afterLines="50"/>
      <w:ind w:firstLine="200" w:firstLineChars="200"/>
    </w:pPr>
    <w:rPr>
      <w:kern w:val="0"/>
      <w:sz w:val="24"/>
      <w:szCs w:val="20"/>
    </w:rPr>
  </w:style>
  <w:style w:type="paragraph" w:customStyle="1" w:styleId="162">
    <w:name w:val="1"/>
    <w:basedOn w:val="1"/>
    <w:next w:val="23"/>
    <w:qFormat/>
    <w:uiPriority w:val="0"/>
    <w:rPr>
      <w:rFonts w:ascii="宋体" w:hAnsi="Courier New"/>
      <w:szCs w:val="20"/>
    </w:rPr>
  </w:style>
  <w:style w:type="paragraph" w:customStyle="1" w:styleId="163">
    <w:name w:val="2ji"/>
    <w:basedOn w:val="3"/>
    <w:qFormat/>
    <w:uiPriority w:val="0"/>
    <w:pPr>
      <w:adjustRightInd w:val="0"/>
      <w:spacing w:before="0" w:after="0" w:line="360" w:lineRule="auto"/>
      <w:textAlignment w:val="baseline"/>
    </w:pPr>
    <w:rPr>
      <w:rFonts w:ascii="宋体" w:hAnsi="宋体" w:eastAsia="宋体"/>
      <w:kern w:val="0"/>
      <w:sz w:val="21"/>
      <w:szCs w:val="21"/>
    </w:rPr>
  </w:style>
  <w:style w:type="paragraph" w:customStyle="1" w:styleId="164">
    <w:name w:val="2-2ji"/>
    <w:basedOn w:val="3"/>
    <w:qFormat/>
    <w:uiPriority w:val="0"/>
    <w:pPr>
      <w:adjustRightInd w:val="0"/>
      <w:spacing w:before="0" w:after="0" w:line="360" w:lineRule="auto"/>
      <w:jc w:val="center"/>
      <w:textAlignment w:val="baseline"/>
    </w:pPr>
    <w:rPr>
      <w:rFonts w:ascii="宋体" w:hAnsi="宋体" w:eastAsia="宋体"/>
      <w:bCs w:val="0"/>
      <w:kern w:val="0"/>
      <w:sz w:val="36"/>
    </w:rPr>
  </w:style>
  <w:style w:type="paragraph" w:customStyle="1" w:styleId="165">
    <w:name w:val="444"/>
    <w:basedOn w:val="1"/>
    <w:qFormat/>
    <w:uiPriority w:val="0"/>
    <w:pPr>
      <w:adjustRightInd w:val="0"/>
      <w:spacing w:line="312" w:lineRule="atLeast"/>
      <w:jc w:val="center"/>
      <w:textAlignment w:val="baseline"/>
    </w:pPr>
    <w:rPr>
      <w:b/>
      <w:kern w:val="0"/>
      <w:sz w:val="36"/>
      <w:szCs w:val="36"/>
    </w:rPr>
  </w:style>
  <w:style w:type="character" w:customStyle="1" w:styleId="166">
    <w:name w:val="未处理的提及1"/>
    <w:semiHidden/>
    <w:unhideWhenUsed/>
    <w:qFormat/>
    <w:uiPriority w:val="99"/>
    <w:rPr>
      <w:color w:val="605E5C"/>
      <w:shd w:val="clear" w:color="auto" w:fill="E1DFDD"/>
    </w:rPr>
  </w:style>
  <w:style w:type="character" w:customStyle="1" w:styleId="167">
    <w:name w:val="批注文字 字符1"/>
    <w:qFormat/>
    <w:uiPriority w:val="0"/>
    <w:rPr>
      <w:kern w:val="2"/>
      <w:sz w:val="21"/>
      <w:szCs w:val="24"/>
    </w:rPr>
  </w:style>
  <w:style w:type="character" w:customStyle="1" w:styleId="168">
    <w:name w:val="纯文本 字符1"/>
    <w:qFormat/>
    <w:uiPriority w:val="99"/>
    <w:rPr>
      <w:rFonts w:ascii="宋体" w:hAnsi="Courier New" w:eastAsia="宋体" w:cs="Courier New"/>
      <w:kern w:val="2"/>
      <w:sz w:val="21"/>
      <w:szCs w:val="21"/>
      <w:lang w:val="en-US" w:eastAsia="zh-CN" w:bidi="ar-SA"/>
    </w:rPr>
  </w:style>
  <w:style w:type="character" w:customStyle="1" w:styleId="169">
    <w:name w:val="正文文本 字符1"/>
    <w:qFormat/>
    <w:uiPriority w:val="99"/>
    <w:rPr>
      <w:kern w:val="2"/>
      <w:sz w:val="24"/>
      <w:szCs w:val="24"/>
    </w:rPr>
  </w:style>
  <w:style w:type="character" w:customStyle="1" w:styleId="170">
    <w:name w:val="批注文字 字符"/>
    <w:qFormat/>
    <w:uiPriority w:val="0"/>
    <w:rPr>
      <w:kern w:val="2"/>
      <w:sz w:val="21"/>
      <w:szCs w:val="24"/>
    </w:rPr>
  </w:style>
  <w:style w:type="character" w:customStyle="1" w:styleId="171">
    <w:name w:val="正文文本 字符"/>
    <w:qFormat/>
    <w:uiPriority w:val="99"/>
    <w:rPr>
      <w:kern w:val="2"/>
      <w:sz w:val="24"/>
      <w:szCs w:val="24"/>
    </w:rPr>
  </w:style>
  <w:style w:type="character" w:customStyle="1" w:styleId="172">
    <w:name w:val="纯文本 字符"/>
    <w:qFormat/>
    <w:uiPriority w:val="99"/>
    <w:rPr>
      <w:rFonts w:ascii="宋体" w:hAnsi="Courier New" w:eastAsia="宋体" w:cs="Courier New"/>
      <w:kern w:val="2"/>
      <w:sz w:val="21"/>
      <w:szCs w:val="21"/>
      <w:lang w:val="en-US" w:eastAsia="zh-CN" w:bidi="ar-SA"/>
    </w:rPr>
  </w:style>
  <w:style w:type="paragraph" w:customStyle="1" w:styleId="173">
    <w:name w:val="目录 71"/>
    <w:basedOn w:val="1"/>
    <w:next w:val="1"/>
    <w:qFormat/>
    <w:uiPriority w:val="0"/>
    <w:pPr>
      <w:tabs>
        <w:tab w:val="right" w:leader="dot" w:pos="9185"/>
      </w:tabs>
      <w:adjustRightInd w:val="0"/>
      <w:spacing w:line="312" w:lineRule="atLeast"/>
      <w:ind w:left="2520"/>
      <w:textAlignment w:val="baseline"/>
    </w:pPr>
    <w:rPr>
      <w:kern w:val="0"/>
      <w:szCs w:val="20"/>
    </w:rPr>
  </w:style>
  <w:style w:type="paragraph" w:customStyle="1" w:styleId="174">
    <w:name w:val="正文-2字符首行缩进"/>
    <w:basedOn w:val="1"/>
    <w:link w:val="175"/>
    <w:qFormat/>
    <w:uiPriority w:val="0"/>
    <w:pPr>
      <w:widowControl/>
      <w:spacing w:line="360" w:lineRule="auto"/>
      <w:ind w:firstLine="200" w:firstLineChars="200"/>
    </w:pPr>
    <w:rPr>
      <w:rFonts w:ascii="仿宋_GB2312" w:hAnsi="Calibri" w:eastAsia="仿宋_GB2312"/>
      <w:kern w:val="0"/>
      <w:sz w:val="28"/>
      <w:szCs w:val="22"/>
    </w:rPr>
  </w:style>
  <w:style w:type="character" w:customStyle="1" w:styleId="175">
    <w:name w:val="正文-2字符首行缩进 Char"/>
    <w:link w:val="174"/>
    <w:qFormat/>
    <w:uiPriority w:val="0"/>
    <w:rPr>
      <w:rFonts w:ascii="仿宋_GB2312" w:hAnsi="Calibri" w:eastAsia="仿宋_GB2312"/>
      <w:sz w:val="28"/>
      <w:szCs w:val="22"/>
    </w:rPr>
  </w:style>
  <w:style w:type="character" w:customStyle="1" w:styleId="176">
    <w:name w:val="正文文本首行缩进 2 字符"/>
    <w:basedOn w:val="79"/>
    <w:link w:val="40"/>
    <w:qFormat/>
    <w:uiPriority w:val="0"/>
    <w:rPr>
      <w:rFonts w:ascii="仿宋_GB2312" w:eastAsia="仿宋_GB2312"/>
      <w:kern w:val="2"/>
      <w:sz w:val="21"/>
      <w:szCs w:val="24"/>
    </w:rPr>
  </w:style>
  <w:style w:type="paragraph" w:customStyle="1" w:styleId="177">
    <w:name w:val="表格文字"/>
    <w:basedOn w:val="1"/>
    <w:qFormat/>
    <w:uiPriority w:val="0"/>
    <w:pPr>
      <w:jc w:val="left"/>
    </w:pPr>
    <w:rPr>
      <w:bCs/>
      <w:spacing w:val="10"/>
      <w:kern w:val="0"/>
      <w:sz w:val="24"/>
    </w:rPr>
  </w:style>
  <w:style w:type="paragraph" w:customStyle="1" w:styleId="178">
    <w:name w:val="WPSOffice手动目录 1"/>
    <w:qFormat/>
    <w:uiPriority w:val="0"/>
    <w:rPr>
      <w:rFonts w:ascii="Times New Roman" w:hAnsi="Times New Roman" w:eastAsia="宋体" w:cs="Times New Roman"/>
      <w:lang w:val="en-US" w:eastAsia="zh-CN" w:bidi="ar-SA"/>
    </w:rPr>
  </w:style>
  <w:style w:type="character" w:customStyle="1" w:styleId="179">
    <w:name w:val="font11"/>
    <w:basedOn w:val="43"/>
    <w:qFormat/>
    <w:uiPriority w:val="0"/>
    <w:rPr>
      <w:rFonts w:hint="eastAsia" w:ascii="宋体" w:hAnsi="宋体" w:eastAsia="宋体" w:cs="宋体"/>
      <w:color w:val="000000"/>
      <w:sz w:val="22"/>
      <w:szCs w:val="22"/>
      <w:u w:val="none"/>
    </w:rPr>
  </w:style>
  <w:style w:type="character" w:customStyle="1" w:styleId="180">
    <w:name w:val="font31"/>
    <w:basedOn w:val="43"/>
    <w:qFormat/>
    <w:uiPriority w:val="0"/>
    <w:rPr>
      <w:rFonts w:ascii="Wingdings" w:hAnsi="Wingdings" w:cs="Wingdings"/>
      <w:color w:val="000000"/>
      <w:sz w:val="22"/>
      <w:szCs w:val="22"/>
      <w:u w:val="none"/>
    </w:rPr>
  </w:style>
  <w:style w:type="character" w:customStyle="1" w:styleId="181">
    <w:name w:val="font41"/>
    <w:basedOn w:val="43"/>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文档" ma:contentTypeID="0x010100EDFC8C954BFE6748BD5D191A3CDA758C" ma:contentTypeVersion="0" ma:contentTypeDescription="新建文档。" ma:contentTypeScope="" ma:versionID="0c7bf8482a1debe99c1331d110faf019">
  <xsd:schema xmlns:xsd="http://www.w3.org/2001/XMLSchema" xmlns:p="http://schemas.microsoft.com/office/2006/metadata/properties" targetNamespace="http://schemas.microsoft.com/office/2006/metadata/properties" ma:root="true" ma:fieldsID="b51e50da1bca0add1c6bbfbefcbaaa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ma:readOnly="true"/>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FC1B73-6669-4D6F-BB0B-816C2732E444}">
  <ds:schemaRefs/>
</ds:datastoreItem>
</file>

<file path=customXml/itemProps3.xml><?xml version="1.0" encoding="utf-8"?>
<ds:datastoreItem xmlns:ds="http://schemas.openxmlformats.org/officeDocument/2006/customXml" ds:itemID="{F0355692-0BCE-480F-8211-548A47FDC353}">
  <ds:schemaRefs/>
</ds:datastoreItem>
</file>

<file path=customXml/itemProps4.xml><?xml version="1.0" encoding="utf-8"?>
<ds:datastoreItem xmlns:ds="http://schemas.openxmlformats.org/officeDocument/2006/customXml" ds:itemID="{EC50DBA5-607A-4396-B7C6-544050CB5FA7}">
  <ds:schemaRefs/>
</ds:datastoreItem>
</file>

<file path=customXml/itemProps5.xml><?xml version="1.0" encoding="utf-8"?>
<ds:datastoreItem xmlns:ds="http://schemas.openxmlformats.org/officeDocument/2006/customXml" ds:itemID="{D99A57AA-24A4-44C5-8086-091B8CD17D5B}">
  <ds:schemaRefs/>
</ds:datastoreItem>
</file>

<file path=customXml/itemProps6.xml><?xml version="1.0" encoding="utf-8"?>
<ds:datastoreItem xmlns:ds="http://schemas.openxmlformats.org/officeDocument/2006/customXml" ds:itemID="{DF22138A-97BF-4364-AD32-48DEC7BE225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31155</Words>
  <Characters>33234</Characters>
  <Lines>272</Lines>
  <Paragraphs>76</Paragraphs>
  <TotalTime>4</TotalTime>
  <ScaleCrop>false</ScaleCrop>
  <LinksUpToDate>false</LinksUpToDate>
  <CharactersWithSpaces>36423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2022-11-18T10:44:00Z</dcterms:created>
  <dc:creator>微软用户</dc:creator>
  <cp:lastModifiedBy>NTKO</cp:lastModifiedBy>
  <cp:lastPrinted>2016-03-22T07:52:00Z</cp:lastPrinted>
  <dcterms:modified xsi:type="dcterms:W3CDTF">2024-09-18T02:45:10Z</dcterms:modified>
  <dc:title>桂财采〔2009〕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ICV">
    <vt:lpwstr>B42140B5A4D54E529CF33178E202F039_13</vt:lpwstr>
  </property>
</Properties>
</file>